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7A43" w14:textId="20D5A3EF" w:rsidR="00B15171" w:rsidRPr="00B15171" w:rsidRDefault="00A8032F" w:rsidP="00B15171">
      <w:pPr>
        <w:tabs>
          <w:tab w:val="left" w:pos="8647"/>
        </w:tabs>
        <w:spacing w:after="200" w:line="360" w:lineRule="auto"/>
        <w:rPr>
          <w:rFonts w:ascii="Tahoma" w:hAnsi="Tahoma" w:cs="Tahoma"/>
        </w:rPr>
        <w:sectPr w:rsidR="00B15171" w:rsidRPr="00B15171" w:rsidSect="00CD27CA">
          <w:headerReference w:type="default" r:id="rId8"/>
          <w:footerReference w:type="default" r:id="rId9"/>
          <w:footerReference w:type="first" r:id="rId10"/>
          <w:pgSz w:w="11906" w:h="16838" w:code="9"/>
          <w:pgMar w:top="1418" w:right="1134" w:bottom="1134" w:left="1134" w:header="709" w:footer="567" w:gutter="0"/>
          <w:cols w:space="720"/>
          <w:titlePg/>
          <w:docGrid w:linePitch="360"/>
        </w:sectPr>
      </w:pPr>
      <w:r>
        <w:rPr>
          <w:rFonts w:ascii="Tahoma" w:hAnsi="Tahoma" w:cs="Tahoma"/>
          <w:noProof/>
        </w:rPr>
        <w:drawing>
          <wp:anchor distT="0" distB="0" distL="114300" distR="114300" simplePos="0" relativeHeight="251681792" behindDoc="1" locked="0" layoutInCell="1" allowOverlap="1" wp14:anchorId="3EFEDA9F" wp14:editId="647480C4">
            <wp:simplePos x="0" y="0"/>
            <wp:positionH relativeFrom="page">
              <wp:align>center</wp:align>
            </wp:positionH>
            <wp:positionV relativeFrom="page">
              <wp:align>center</wp:align>
            </wp:positionV>
            <wp:extent cx="7556400" cy="10688400"/>
            <wp:effectExtent l="0" t="0" r="6985" b="0"/>
            <wp:wrapNone/>
            <wp:docPr id="7944158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15891" name="Immagine 794415891"/>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p w14:paraId="76E65B57" w14:textId="3B37E01E" w:rsidR="00B15171" w:rsidRPr="00B15171" w:rsidRDefault="00B21B75" w:rsidP="00B15171">
      <w:pPr>
        <w:spacing w:after="200" w:line="360" w:lineRule="auto"/>
        <w:rPr>
          <w:rFonts w:ascii="Tahoma" w:hAnsi="Tahoma" w:cs="Tahoma"/>
        </w:rPr>
      </w:pPr>
      <w:r w:rsidRPr="00B21B75">
        <w:rPr>
          <w:rFonts w:ascii="Tahoma" w:hAnsi="Tahoma" w:cs="Tahoma"/>
          <w:sz w:val="32"/>
          <w:szCs w:val="32"/>
        </w:rPr>
        <w:lastRenderedPageBreak/>
        <w:t>Stefano Pizzutelli</w:t>
      </w:r>
    </w:p>
    <w:p w14:paraId="7E4B143C" w14:textId="77777777" w:rsidR="00B15171" w:rsidRPr="00B15171" w:rsidRDefault="00B15171" w:rsidP="00B15171">
      <w:pPr>
        <w:spacing w:after="200" w:line="360" w:lineRule="auto"/>
        <w:rPr>
          <w:rFonts w:ascii="Tahoma" w:hAnsi="Tahoma" w:cs="Tahoma"/>
          <w:b/>
          <w:bCs/>
          <w:sz w:val="40"/>
          <w:szCs w:val="40"/>
        </w:rPr>
      </w:pPr>
    </w:p>
    <w:p w14:paraId="6656C8C3" w14:textId="5607F9C3" w:rsidR="00B21B75" w:rsidRPr="00B21B75" w:rsidRDefault="00B21B75" w:rsidP="00B21B75">
      <w:pPr>
        <w:pStyle w:val="NormaleWeb"/>
        <w:jc w:val="center"/>
        <w:rPr>
          <w:rFonts w:ascii="Tahoma" w:hAnsi="Tahoma" w:cs="Tahoma"/>
          <w:sz w:val="70"/>
          <w:szCs w:val="70"/>
        </w:rPr>
      </w:pPr>
      <w:r w:rsidRPr="00B21B75">
        <w:rPr>
          <w:rStyle w:val="Enfasigrassetto"/>
          <w:rFonts w:ascii="Tahoma" w:hAnsi="Tahoma" w:cs="Tahoma"/>
          <w:sz w:val="70"/>
          <w:szCs w:val="70"/>
        </w:rPr>
        <w:t>I BILANCI 202</w:t>
      </w:r>
      <w:r w:rsidR="000875B7">
        <w:rPr>
          <w:rStyle w:val="Enfasigrassetto"/>
          <w:rFonts w:ascii="Tahoma" w:hAnsi="Tahoma" w:cs="Tahoma"/>
          <w:sz w:val="70"/>
          <w:szCs w:val="70"/>
        </w:rPr>
        <w:t>3</w:t>
      </w:r>
    </w:p>
    <w:p w14:paraId="33172CE6" w14:textId="77777777" w:rsidR="00B21B75" w:rsidRPr="00B21B75" w:rsidRDefault="00B21B75" w:rsidP="00B21B75">
      <w:pPr>
        <w:pStyle w:val="NormaleWeb"/>
        <w:contextualSpacing/>
        <w:jc w:val="center"/>
        <w:rPr>
          <w:rFonts w:ascii="Tahoma" w:hAnsi="Tahoma" w:cs="Tahoma"/>
          <w:b/>
          <w:bCs/>
          <w:sz w:val="36"/>
          <w:szCs w:val="36"/>
        </w:rPr>
      </w:pPr>
      <w:r w:rsidRPr="00B21B75">
        <w:rPr>
          <w:rStyle w:val="Enfasigrassetto"/>
          <w:rFonts w:ascii="Tahoma" w:hAnsi="Tahoma" w:cs="Tahoma"/>
          <w:sz w:val="36"/>
          <w:szCs w:val="36"/>
        </w:rPr>
        <w:t xml:space="preserve">GUIDA PRATICA PER LA REDAZIONE DEL BILANCIO </w:t>
      </w:r>
    </w:p>
    <w:p w14:paraId="2A60D68E" w14:textId="7CBE7EE6" w:rsidR="00B21B75" w:rsidRPr="00B21B75" w:rsidRDefault="00B21B75" w:rsidP="00B21B75">
      <w:pPr>
        <w:pStyle w:val="NormaleWeb"/>
        <w:jc w:val="center"/>
        <w:rPr>
          <w:rFonts w:ascii="Tahoma" w:hAnsi="Tahoma" w:cs="Tahoma"/>
          <w:sz w:val="36"/>
          <w:szCs w:val="36"/>
        </w:rPr>
      </w:pPr>
      <w:r w:rsidRPr="00B21B75">
        <w:rPr>
          <w:rStyle w:val="Enfasigrassetto"/>
          <w:rFonts w:ascii="Tahoma" w:hAnsi="Tahoma" w:cs="Tahoma"/>
          <w:sz w:val="36"/>
          <w:szCs w:val="36"/>
        </w:rPr>
        <w:t>PER SOCIETÀ, REVISORI E SINDACI</w:t>
      </w:r>
    </w:p>
    <w:p w14:paraId="6013C6C6" w14:textId="051247D4" w:rsidR="00B21B75" w:rsidRDefault="00B21B75" w:rsidP="00B21B75">
      <w:pPr>
        <w:pStyle w:val="NormaleWeb"/>
        <w:rPr>
          <w:rStyle w:val="Enfasigrassetto"/>
        </w:rPr>
      </w:pPr>
      <w:r>
        <w:rPr>
          <w:rStyle w:val="Enfasigrassetto"/>
        </w:rPr>
        <w:t> </w:t>
      </w:r>
    </w:p>
    <w:p w14:paraId="295A53E7" w14:textId="77777777" w:rsidR="000A5632" w:rsidRDefault="000A5632" w:rsidP="00B21B75">
      <w:pPr>
        <w:pStyle w:val="NormaleWeb"/>
      </w:pPr>
    </w:p>
    <w:p w14:paraId="11AC662E" w14:textId="4F08B438" w:rsidR="00B21B75" w:rsidRPr="000A5632" w:rsidRDefault="00B21B75" w:rsidP="000A5632">
      <w:pPr>
        <w:pStyle w:val="NormaleWeb"/>
        <w:spacing w:before="0" w:beforeAutospacing="0" w:after="0" w:afterAutospacing="0"/>
        <w:jc w:val="center"/>
        <w:rPr>
          <w:rFonts w:ascii="Tahoma" w:hAnsi="Tahoma" w:cs="Tahoma"/>
          <w:b/>
          <w:bCs/>
          <w:sz w:val="32"/>
          <w:szCs w:val="32"/>
        </w:rPr>
      </w:pPr>
      <w:r w:rsidRPr="000A5632">
        <w:rPr>
          <w:rFonts w:ascii="Tahoma" w:hAnsi="Tahoma" w:cs="Tahoma"/>
          <w:b/>
          <w:bCs/>
          <w:sz w:val="32"/>
          <w:szCs w:val="32"/>
        </w:rPr>
        <w:t xml:space="preserve">Aggiornato con la conversione in legge </w:t>
      </w:r>
      <w:r w:rsidR="000A5632">
        <w:rPr>
          <w:rFonts w:ascii="Tahoma" w:hAnsi="Tahoma" w:cs="Tahoma"/>
          <w:b/>
          <w:bCs/>
          <w:sz w:val="32"/>
          <w:szCs w:val="32"/>
        </w:rPr>
        <w:t xml:space="preserve">                                      </w:t>
      </w:r>
      <w:r w:rsidRPr="000A5632">
        <w:rPr>
          <w:rFonts w:ascii="Tahoma" w:hAnsi="Tahoma" w:cs="Tahoma"/>
          <w:b/>
          <w:bCs/>
          <w:sz w:val="32"/>
          <w:szCs w:val="32"/>
        </w:rPr>
        <w:t>del "Decreto Milleproroghe"</w:t>
      </w:r>
    </w:p>
    <w:p w14:paraId="6B1E2BFF" w14:textId="7F8ACF04" w:rsidR="00B21B75" w:rsidRDefault="00B21B75" w:rsidP="00B21B75">
      <w:pPr>
        <w:pStyle w:val="NormaleWeb"/>
        <w:rPr>
          <w:rFonts w:ascii="Tahoma" w:hAnsi="Tahoma" w:cs="Tahoma"/>
          <w:b/>
          <w:bCs/>
          <w:sz w:val="28"/>
          <w:szCs w:val="28"/>
        </w:rPr>
      </w:pPr>
    </w:p>
    <w:p w14:paraId="730ABE37" w14:textId="77777777" w:rsidR="00B21B75" w:rsidRPr="00B21B75" w:rsidRDefault="00B21B75" w:rsidP="00B21B75">
      <w:pPr>
        <w:pStyle w:val="NormaleWeb"/>
      </w:pPr>
    </w:p>
    <w:p w14:paraId="1DD8B314" w14:textId="77777777"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Continuità aziendale: il ruolo di sindaci e revisori</w:t>
      </w:r>
    </w:p>
    <w:p w14:paraId="3CBF9DC2" w14:textId="77777777"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Il ruolo del collegio sindacale nella crisi d'impresa</w:t>
      </w:r>
    </w:p>
    <w:p w14:paraId="1E13DD6A" w14:textId="6AF5BEA8" w:rsidR="00B21B75" w:rsidRP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Gli ammortamenti nel bilancio 202</w:t>
      </w:r>
      <w:r w:rsidR="000875B7">
        <w:rPr>
          <w:rFonts w:ascii="Tahoma" w:hAnsi="Tahoma" w:cs="Tahoma"/>
          <w:sz w:val="28"/>
          <w:szCs w:val="28"/>
        </w:rPr>
        <w:t>3</w:t>
      </w:r>
    </w:p>
    <w:p w14:paraId="7B21FF59" w14:textId="77777777" w:rsidR="00B21B75" w:rsidRDefault="00B21B75">
      <w:pPr>
        <w:pStyle w:val="Paragrafoelenco"/>
        <w:numPr>
          <w:ilvl w:val="0"/>
          <w:numId w:val="17"/>
        </w:numPr>
        <w:spacing w:after="200" w:line="360" w:lineRule="auto"/>
        <w:rPr>
          <w:rFonts w:ascii="Tahoma" w:hAnsi="Tahoma" w:cs="Tahoma"/>
          <w:sz w:val="28"/>
          <w:szCs w:val="28"/>
        </w:rPr>
      </w:pPr>
      <w:r w:rsidRPr="00B21B75">
        <w:rPr>
          <w:rFonts w:ascii="Tahoma" w:hAnsi="Tahoma" w:cs="Tahoma"/>
          <w:sz w:val="28"/>
          <w:szCs w:val="28"/>
        </w:rPr>
        <w:t>La disciplina delle perdite</w:t>
      </w:r>
    </w:p>
    <w:p w14:paraId="3D8736E1" w14:textId="15BDCD81" w:rsidR="000875B7" w:rsidRPr="00B21B75" w:rsidRDefault="000875B7">
      <w:pPr>
        <w:pStyle w:val="Paragrafoelenco"/>
        <w:numPr>
          <w:ilvl w:val="0"/>
          <w:numId w:val="17"/>
        </w:numPr>
        <w:spacing w:after="200" w:line="360" w:lineRule="auto"/>
        <w:rPr>
          <w:rFonts w:ascii="Tahoma" w:hAnsi="Tahoma" w:cs="Tahoma"/>
          <w:sz w:val="28"/>
          <w:szCs w:val="28"/>
        </w:rPr>
      </w:pPr>
      <w:r>
        <w:rPr>
          <w:rFonts w:ascii="Tahoma" w:hAnsi="Tahoma" w:cs="Tahoma"/>
          <w:sz w:val="28"/>
          <w:szCs w:val="28"/>
        </w:rPr>
        <w:t>Il riallineamento del magazzino</w:t>
      </w:r>
    </w:p>
    <w:p w14:paraId="36354BD7" w14:textId="77777777" w:rsidR="00B15171" w:rsidRPr="00B15171" w:rsidRDefault="00B15171" w:rsidP="00B15171">
      <w:pPr>
        <w:spacing w:after="200" w:line="360" w:lineRule="auto"/>
        <w:rPr>
          <w:rFonts w:ascii="Tahoma" w:hAnsi="Tahoma" w:cs="Tahoma"/>
          <w:b/>
          <w:bCs/>
          <w:sz w:val="42"/>
          <w:szCs w:val="42"/>
        </w:rPr>
      </w:pPr>
    </w:p>
    <w:p w14:paraId="1E84065B" w14:textId="48009D60" w:rsidR="00B15171" w:rsidRPr="00B15171" w:rsidRDefault="00B15171" w:rsidP="00B15171">
      <w:pPr>
        <w:spacing w:after="200" w:line="360" w:lineRule="auto"/>
        <w:rPr>
          <w:rFonts w:ascii="Tahoma" w:hAnsi="Tahoma" w:cs="Tahoma"/>
          <w:b/>
          <w:bCs/>
          <w:sz w:val="28"/>
          <w:szCs w:val="28"/>
        </w:rPr>
        <w:sectPr w:rsidR="00B15171" w:rsidRPr="00B15171" w:rsidSect="00CD27CA">
          <w:headerReference w:type="even" r:id="rId12"/>
          <w:headerReference w:type="default" r:id="rId13"/>
          <w:footerReference w:type="even" r:id="rId14"/>
          <w:footerReference w:type="default" r:id="rId15"/>
          <w:headerReference w:type="first" r:id="rId16"/>
          <w:footerReference w:type="first" r:id="rId17"/>
          <w:pgSz w:w="11906" w:h="16838" w:code="9"/>
          <w:pgMar w:top="1418" w:right="1134" w:bottom="1134" w:left="1134" w:header="709" w:footer="567" w:gutter="0"/>
          <w:cols w:space="720"/>
          <w:titlePg/>
          <w:docGrid w:linePitch="360"/>
        </w:sectPr>
      </w:pPr>
      <w:r w:rsidRPr="00B15171">
        <w:rPr>
          <w:rFonts w:ascii="Tahoma" w:hAnsi="Tahoma" w:cs="Tahoma"/>
          <w:noProof/>
        </w:rPr>
        <w:drawing>
          <wp:anchor distT="0" distB="0" distL="114935" distR="0" simplePos="0" relativeHeight="251664384" behindDoc="1" locked="0" layoutInCell="1" allowOverlap="1" wp14:anchorId="21226E3F" wp14:editId="01A592E2">
            <wp:simplePos x="0" y="0"/>
            <wp:positionH relativeFrom="page">
              <wp:posOffset>4374515</wp:posOffset>
            </wp:positionH>
            <wp:positionV relativeFrom="page">
              <wp:posOffset>9194800</wp:posOffset>
            </wp:positionV>
            <wp:extent cx="2740025" cy="745490"/>
            <wp:effectExtent l="0" t="0" r="3175"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8">
                      <a:extLst>
                        <a:ext uri="{28A0092B-C50C-407E-A947-70E740481C1C}">
                          <a14:useLocalDpi xmlns:a14="http://schemas.microsoft.com/office/drawing/2010/main" val="0"/>
                        </a:ext>
                      </a:extLst>
                    </a:blip>
                    <a:srcRect l="-197" t="-719" r="-197" b="-719"/>
                    <a:stretch>
                      <a:fillRect/>
                    </a:stretch>
                  </pic:blipFill>
                  <pic:spPr bwMode="auto">
                    <a:xfrm>
                      <a:off x="0" y="0"/>
                      <a:ext cx="2740025" cy="7454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49F49CE3" w14:textId="22E334DE" w:rsidR="00B15171" w:rsidRPr="00B15171" w:rsidRDefault="00B15171" w:rsidP="00B15171">
      <w:pPr>
        <w:spacing w:after="200" w:line="360" w:lineRule="auto"/>
        <w:jc w:val="center"/>
        <w:rPr>
          <w:rFonts w:ascii="Tahoma" w:hAnsi="Tahoma" w:cs="Tahoma"/>
          <w:b/>
          <w:i/>
          <w:sz w:val="28"/>
          <w:szCs w:val="28"/>
        </w:rPr>
        <w:sectPr w:rsidR="00B15171" w:rsidRPr="00B15171" w:rsidSect="00CD27CA">
          <w:headerReference w:type="even" r:id="rId19"/>
          <w:headerReference w:type="default" r:id="rId20"/>
          <w:footerReference w:type="even" r:id="rId21"/>
          <w:footerReference w:type="default" r:id="rId22"/>
          <w:headerReference w:type="first" r:id="rId23"/>
          <w:footerReference w:type="first" r:id="rId24"/>
          <w:pgSz w:w="11906" w:h="16838" w:code="9"/>
          <w:pgMar w:top="1418" w:right="1134" w:bottom="1134" w:left="1134" w:header="709" w:footer="567" w:gutter="0"/>
          <w:cols w:space="720"/>
          <w:titlePg/>
          <w:docGrid w:linePitch="360"/>
        </w:sectPr>
      </w:pPr>
      <w:r w:rsidRPr="00B15171">
        <w:rPr>
          <w:rFonts w:ascii="Tahoma" w:hAnsi="Tahoma" w:cs="Tahoma"/>
          <w:b/>
          <w:i/>
          <w:noProof/>
          <w:sz w:val="28"/>
          <w:szCs w:val="28"/>
        </w:rPr>
        <w:lastRenderedPageBreak/>
        <w:drawing>
          <wp:inline distT="0" distB="0" distL="0" distR="0" wp14:anchorId="407F2822" wp14:editId="40CD6688">
            <wp:extent cx="6116955" cy="8660765"/>
            <wp:effectExtent l="0" t="0" r="0" b="698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25">
                      <a:extLst>
                        <a:ext uri="{28A0092B-C50C-407E-A947-70E740481C1C}">
                          <a14:useLocalDpi xmlns:a14="http://schemas.microsoft.com/office/drawing/2010/main" val="0"/>
                        </a:ext>
                      </a:extLst>
                    </a:blip>
                    <a:srcRect l="-76" t="-47" r="-76" b="-47"/>
                    <a:stretch>
                      <a:fillRect/>
                    </a:stretch>
                  </pic:blipFill>
                  <pic:spPr bwMode="auto">
                    <a:xfrm>
                      <a:off x="0" y="0"/>
                      <a:ext cx="6116955" cy="8660765"/>
                    </a:xfrm>
                    <a:prstGeom prst="rect">
                      <a:avLst/>
                    </a:prstGeom>
                    <a:solidFill>
                      <a:srgbClr val="FFFFFF"/>
                    </a:solidFill>
                    <a:ln>
                      <a:noFill/>
                    </a:ln>
                  </pic:spPr>
                </pic:pic>
              </a:graphicData>
            </a:graphic>
          </wp:inline>
        </w:drawing>
      </w:r>
    </w:p>
    <w:p w14:paraId="09D24CF0" w14:textId="56B2CDC4" w:rsidR="00B21B75" w:rsidRPr="00B21B75" w:rsidRDefault="00B21B75" w:rsidP="00B21B75">
      <w:pPr>
        <w:spacing w:after="200" w:line="360" w:lineRule="auto"/>
        <w:jc w:val="center"/>
        <w:rPr>
          <w:rFonts w:ascii="Tahoma" w:hAnsi="Tahoma" w:cs="Tahoma"/>
          <w:b/>
          <w:i/>
          <w:sz w:val="28"/>
          <w:szCs w:val="28"/>
        </w:rPr>
      </w:pPr>
      <w:r w:rsidRPr="00B21B75">
        <w:rPr>
          <w:rFonts w:ascii="Tahoma" w:hAnsi="Tahoma" w:cs="Tahoma"/>
          <w:b/>
          <w:i/>
          <w:sz w:val="28"/>
          <w:szCs w:val="28"/>
        </w:rPr>
        <w:lastRenderedPageBreak/>
        <w:t>Stefano Pizzutelli</w:t>
      </w:r>
    </w:p>
    <w:p w14:paraId="2E03144D" w14:textId="34A1CDAC" w:rsidR="00B15171" w:rsidRPr="00B15171" w:rsidRDefault="00B21B75" w:rsidP="00B15171">
      <w:pPr>
        <w:spacing w:after="200" w:line="360" w:lineRule="auto"/>
        <w:rPr>
          <w:rFonts w:ascii="Tahoma" w:hAnsi="Tahoma" w:cs="Tahoma"/>
          <w:szCs w:val="20"/>
        </w:rPr>
      </w:pPr>
      <w:r w:rsidRPr="00B21B75">
        <w:rPr>
          <w:rFonts w:ascii="Tahoma" w:hAnsi="Tahoma" w:cs="Tahoma"/>
          <w:szCs w:val="20"/>
        </w:rPr>
        <w:t xml:space="preserve">Dottore commercialista e Revisore legale - ODCEC Frosinone. Revisore di enti pubblici e di società private, è  componente della “Commissione Revisione Legale e Principi di Revisione” del CNDCEC. Già componente del Tax </w:t>
      </w:r>
      <w:proofErr w:type="spellStart"/>
      <w:r w:rsidRPr="00B21B75">
        <w:rPr>
          <w:rFonts w:ascii="Tahoma" w:hAnsi="Tahoma" w:cs="Tahoma"/>
          <w:szCs w:val="20"/>
        </w:rPr>
        <w:t>department</w:t>
      </w:r>
      <w:proofErr w:type="spellEnd"/>
      <w:r w:rsidRPr="00B21B75">
        <w:rPr>
          <w:rFonts w:ascii="Tahoma" w:hAnsi="Tahoma" w:cs="Tahoma"/>
          <w:szCs w:val="20"/>
        </w:rPr>
        <w:t xml:space="preserve"> di una Big </w:t>
      </w:r>
      <w:proofErr w:type="spellStart"/>
      <w:r w:rsidRPr="00B21B75">
        <w:rPr>
          <w:rFonts w:ascii="Tahoma" w:hAnsi="Tahoma" w:cs="Tahoma"/>
          <w:szCs w:val="20"/>
        </w:rPr>
        <w:t>Four</w:t>
      </w:r>
      <w:proofErr w:type="spellEnd"/>
      <w:r w:rsidRPr="00B21B75">
        <w:rPr>
          <w:rFonts w:ascii="Tahoma" w:hAnsi="Tahoma" w:cs="Tahoma"/>
          <w:szCs w:val="20"/>
        </w:rPr>
        <w:t>.</w:t>
      </w:r>
    </w:p>
    <w:p w14:paraId="472EA5B7" w14:textId="77777777" w:rsidR="00B15171" w:rsidRPr="00B15171" w:rsidRDefault="00B15171" w:rsidP="00B15171">
      <w:pPr>
        <w:spacing w:after="200" w:line="360" w:lineRule="auto"/>
        <w:rPr>
          <w:rFonts w:ascii="Tahoma" w:hAnsi="Tahoma" w:cs="Tahoma"/>
          <w:szCs w:val="20"/>
        </w:rPr>
      </w:pPr>
    </w:p>
    <w:p w14:paraId="63982BDB" w14:textId="77777777" w:rsidR="00B15171" w:rsidRPr="00B15171" w:rsidRDefault="00B15171" w:rsidP="00B15171">
      <w:pPr>
        <w:spacing w:after="200" w:line="360" w:lineRule="auto"/>
        <w:rPr>
          <w:rFonts w:ascii="Tahoma" w:hAnsi="Tahoma" w:cs="Tahoma"/>
          <w:szCs w:val="20"/>
        </w:rPr>
      </w:pPr>
    </w:p>
    <w:p w14:paraId="5FD74A3F" w14:textId="77777777" w:rsidR="00B15171" w:rsidRPr="00B15171" w:rsidRDefault="00B15171" w:rsidP="00B15171">
      <w:pPr>
        <w:spacing w:after="200" w:line="360" w:lineRule="auto"/>
        <w:rPr>
          <w:rFonts w:ascii="Tahoma" w:hAnsi="Tahoma" w:cs="Tahoma"/>
          <w:szCs w:val="20"/>
        </w:rPr>
      </w:pPr>
    </w:p>
    <w:p w14:paraId="61483CFC" w14:textId="77777777" w:rsidR="00B15171" w:rsidRPr="00B15171" w:rsidRDefault="00B15171" w:rsidP="00B15171">
      <w:pPr>
        <w:spacing w:after="200" w:line="360" w:lineRule="auto"/>
        <w:rPr>
          <w:rFonts w:ascii="Tahoma" w:hAnsi="Tahoma" w:cs="Tahoma"/>
          <w:szCs w:val="20"/>
        </w:rPr>
      </w:pPr>
    </w:p>
    <w:p w14:paraId="2B58712E" w14:textId="77777777" w:rsidR="00B15171" w:rsidRPr="00B15171" w:rsidRDefault="00B15171" w:rsidP="00B15171">
      <w:pPr>
        <w:spacing w:after="200" w:line="360" w:lineRule="auto"/>
        <w:rPr>
          <w:rFonts w:ascii="Tahoma" w:hAnsi="Tahoma" w:cs="Tahoma"/>
          <w:szCs w:val="20"/>
        </w:rPr>
      </w:pPr>
    </w:p>
    <w:p w14:paraId="7AFABF2F" w14:textId="77777777" w:rsidR="00B15171" w:rsidRPr="00B15171" w:rsidRDefault="00B15171" w:rsidP="00B15171">
      <w:pPr>
        <w:spacing w:after="200" w:line="360" w:lineRule="auto"/>
        <w:rPr>
          <w:rFonts w:ascii="Tahoma" w:hAnsi="Tahoma" w:cs="Tahoma"/>
          <w:szCs w:val="20"/>
        </w:rPr>
      </w:pPr>
    </w:p>
    <w:p w14:paraId="0085673D" w14:textId="77777777" w:rsidR="00B15171" w:rsidRPr="00B15171" w:rsidRDefault="00B15171" w:rsidP="00B15171">
      <w:pPr>
        <w:spacing w:after="200" w:line="360" w:lineRule="auto"/>
        <w:rPr>
          <w:rFonts w:ascii="Tahoma" w:hAnsi="Tahoma" w:cs="Tahoma"/>
          <w:b/>
          <w:bCs/>
          <w:sz w:val="20"/>
          <w:szCs w:val="20"/>
        </w:rPr>
      </w:pPr>
    </w:p>
    <w:p w14:paraId="18D637B3" w14:textId="77777777" w:rsidR="00B15171" w:rsidRPr="00B15171" w:rsidRDefault="00B15171" w:rsidP="00B15171">
      <w:pPr>
        <w:spacing w:after="200" w:line="360" w:lineRule="auto"/>
        <w:rPr>
          <w:rFonts w:ascii="Tahoma" w:hAnsi="Tahoma" w:cs="Tahoma"/>
          <w:b/>
          <w:bCs/>
          <w:sz w:val="20"/>
          <w:szCs w:val="20"/>
        </w:rPr>
      </w:pPr>
    </w:p>
    <w:p w14:paraId="6D238BC4" w14:textId="77777777" w:rsidR="00B15171" w:rsidRPr="00B15171" w:rsidRDefault="00B15171" w:rsidP="00B15171">
      <w:pPr>
        <w:spacing w:after="200" w:line="360" w:lineRule="auto"/>
        <w:rPr>
          <w:rFonts w:ascii="Tahoma" w:hAnsi="Tahoma" w:cs="Tahoma"/>
          <w:b/>
          <w:bCs/>
          <w:sz w:val="20"/>
          <w:szCs w:val="20"/>
        </w:rPr>
      </w:pPr>
    </w:p>
    <w:p w14:paraId="07B5DD53" w14:textId="77777777" w:rsidR="00B15171" w:rsidRPr="00B15171" w:rsidRDefault="00B15171" w:rsidP="00B15171">
      <w:pPr>
        <w:spacing w:after="200" w:line="360" w:lineRule="auto"/>
        <w:rPr>
          <w:rFonts w:ascii="Tahoma" w:hAnsi="Tahoma" w:cs="Tahoma"/>
          <w:szCs w:val="20"/>
        </w:rPr>
      </w:pPr>
    </w:p>
    <w:p w14:paraId="66F85F70" w14:textId="77777777" w:rsidR="00B15171" w:rsidRPr="00B15171" w:rsidRDefault="00B15171" w:rsidP="00B15171">
      <w:pPr>
        <w:spacing w:after="200" w:line="360" w:lineRule="auto"/>
        <w:rPr>
          <w:rFonts w:ascii="Tahoma" w:hAnsi="Tahoma" w:cs="Tahoma"/>
          <w:szCs w:val="20"/>
        </w:rPr>
      </w:pPr>
    </w:p>
    <w:p w14:paraId="617244EB" w14:textId="4223F415" w:rsidR="00B15171" w:rsidRPr="00B15171" w:rsidRDefault="00B15171" w:rsidP="00B15171">
      <w:pPr>
        <w:spacing w:after="200" w:line="360" w:lineRule="auto"/>
        <w:jc w:val="center"/>
        <w:rPr>
          <w:rFonts w:ascii="Tahoma" w:hAnsi="Tahoma" w:cs="Tahoma"/>
        </w:rPr>
      </w:pPr>
      <w:r w:rsidRPr="000A5632">
        <w:rPr>
          <w:rFonts w:ascii="Tahoma" w:hAnsi="Tahoma" w:cs="Tahoma"/>
          <w:b/>
          <w:bCs/>
        </w:rPr>
        <w:t>ISBN:</w:t>
      </w:r>
      <w:r w:rsidR="000A5632" w:rsidRPr="000A5632">
        <w:t xml:space="preserve"> </w:t>
      </w:r>
      <w:r w:rsidR="000036D9" w:rsidRPr="000036D9">
        <w:rPr>
          <w:rFonts w:ascii="Tahoma" w:hAnsi="Tahoma" w:cs="Tahoma"/>
        </w:rPr>
        <w:t>9788891669636</w:t>
      </w:r>
    </w:p>
    <w:p w14:paraId="77CAE786" w14:textId="08C9788E" w:rsidR="00B15171" w:rsidRPr="00B15171" w:rsidRDefault="00B15171" w:rsidP="00B15171">
      <w:pPr>
        <w:spacing w:after="200" w:line="360" w:lineRule="auto"/>
        <w:jc w:val="center"/>
        <w:rPr>
          <w:rFonts w:ascii="Tahoma" w:hAnsi="Tahoma" w:cs="Tahoma"/>
        </w:rPr>
      </w:pPr>
      <w:r w:rsidRPr="00B15171">
        <w:rPr>
          <w:rFonts w:ascii="Tahoma" w:hAnsi="Tahoma" w:cs="Tahoma"/>
        </w:rPr>
        <w:t>© Copyright 202</w:t>
      </w:r>
      <w:r w:rsidR="009208F3">
        <w:rPr>
          <w:rFonts w:ascii="Tahoma" w:hAnsi="Tahoma" w:cs="Tahoma"/>
        </w:rPr>
        <w:t>4</w:t>
      </w:r>
      <w:r w:rsidRPr="00B15171">
        <w:rPr>
          <w:rFonts w:ascii="Tahoma" w:hAnsi="Tahoma" w:cs="Tahoma"/>
        </w:rPr>
        <w:t xml:space="preserve"> Maggioli </w:t>
      </w:r>
    </w:p>
    <w:p w14:paraId="3E20FF0F" w14:textId="71C3734E" w:rsidR="00B15171" w:rsidRPr="00B15171" w:rsidRDefault="000A5632" w:rsidP="00B15171">
      <w:pPr>
        <w:spacing w:after="200" w:line="360" w:lineRule="auto"/>
        <w:jc w:val="center"/>
        <w:rPr>
          <w:rFonts w:ascii="Tahoma" w:hAnsi="Tahoma" w:cs="Tahoma"/>
        </w:rPr>
      </w:pPr>
      <w:r>
        <w:rPr>
          <w:rFonts w:ascii="Tahoma" w:hAnsi="Tahoma" w:cs="Tahoma"/>
        </w:rPr>
        <w:t>Marzo</w:t>
      </w:r>
      <w:r w:rsidR="00B15171" w:rsidRPr="00B15171">
        <w:rPr>
          <w:rFonts w:ascii="Tahoma" w:hAnsi="Tahoma" w:cs="Tahoma"/>
        </w:rPr>
        <w:t xml:space="preserve"> 202</w:t>
      </w:r>
      <w:r w:rsidR="009208F3">
        <w:rPr>
          <w:rFonts w:ascii="Tahoma" w:hAnsi="Tahoma" w:cs="Tahoma"/>
        </w:rPr>
        <w:t>4</w:t>
      </w:r>
    </w:p>
    <w:p w14:paraId="12E5B433" w14:textId="77777777" w:rsidR="00B15171" w:rsidRPr="00B15171" w:rsidRDefault="00000000" w:rsidP="00B15171">
      <w:pPr>
        <w:spacing w:after="200" w:line="360" w:lineRule="auto"/>
        <w:jc w:val="center"/>
        <w:rPr>
          <w:rFonts w:ascii="Tahoma" w:hAnsi="Tahoma" w:cs="Tahoma"/>
        </w:rPr>
      </w:pPr>
      <w:hyperlink r:id="rId26" w:history="1">
        <w:r w:rsidR="00B15171" w:rsidRPr="00B15171">
          <w:rPr>
            <w:rStyle w:val="Collegamentoipertestuale"/>
            <w:rFonts w:ascii="Tahoma" w:hAnsi="Tahoma" w:cs="Tahoma"/>
            <w:color w:val="000000"/>
          </w:rPr>
          <w:t>www.fiscoetasse.com</w:t>
        </w:r>
      </w:hyperlink>
    </w:p>
    <w:p w14:paraId="113EC286" w14:textId="66947572" w:rsidR="00B15171" w:rsidRPr="00B15171" w:rsidRDefault="00B15171" w:rsidP="00B15171">
      <w:pPr>
        <w:spacing w:after="200" w:line="360" w:lineRule="auto"/>
        <w:rPr>
          <w:rFonts w:ascii="Tahoma" w:hAnsi="Tahoma" w:cs="Tahoma"/>
        </w:rPr>
        <w:sectPr w:rsidR="00B15171" w:rsidRPr="00B15171" w:rsidSect="00CD27CA">
          <w:headerReference w:type="even" r:id="rId27"/>
          <w:headerReference w:type="default" r:id="rId28"/>
          <w:footerReference w:type="even" r:id="rId29"/>
          <w:footerReference w:type="default" r:id="rId30"/>
          <w:headerReference w:type="first" r:id="rId31"/>
          <w:footerReference w:type="first" r:id="rId32"/>
          <w:pgSz w:w="11906" w:h="16838" w:code="9"/>
          <w:pgMar w:top="1418" w:right="1134" w:bottom="1134" w:left="1134" w:header="709" w:footer="567" w:gutter="0"/>
          <w:cols w:space="720"/>
          <w:titlePg/>
          <w:docGrid w:linePitch="600" w:charSpace="36864"/>
        </w:sectPr>
      </w:pPr>
      <w:r w:rsidRPr="00B15171">
        <w:rPr>
          <w:rFonts w:ascii="Tahoma" w:hAnsi="Tahoma" w:cs="Tahoma"/>
          <w:noProof/>
        </w:rPr>
        <w:drawing>
          <wp:anchor distT="0" distB="0" distL="114935" distR="114935" simplePos="0" relativeHeight="251663360" behindDoc="1" locked="0" layoutInCell="1" allowOverlap="1" wp14:anchorId="40EC3377" wp14:editId="2B729A41">
            <wp:simplePos x="0" y="0"/>
            <wp:positionH relativeFrom="column">
              <wp:posOffset>1918335</wp:posOffset>
            </wp:positionH>
            <wp:positionV relativeFrom="paragraph">
              <wp:posOffset>164465</wp:posOffset>
            </wp:positionV>
            <wp:extent cx="2221865" cy="603885"/>
            <wp:effectExtent l="0" t="0" r="6985" b="571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8">
                      <a:extLst>
                        <a:ext uri="{28A0092B-C50C-407E-A947-70E740481C1C}">
                          <a14:useLocalDpi xmlns:a14="http://schemas.microsoft.com/office/drawing/2010/main" val="0"/>
                        </a:ext>
                      </a:extLst>
                    </a:blip>
                    <a:srcRect l="-197" t="-719" r="-197" b="-719"/>
                    <a:stretch>
                      <a:fillRect/>
                    </a:stretch>
                  </pic:blipFill>
                  <pic:spPr bwMode="auto">
                    <a:xfrm>
                      <a:off x="0" y="0"/>
                      <a:ext cx="2221865" cy="60388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2FB958C9" w14:textId="77777777" w:rsidR="00B15171" w:rsidRPr="00B15171" w:rsidRDefault="00B15171" w:rsidP="00B15171">
      <w:pPr>
        <w:spacing w:after="200" w:line="360" w:lineRule="auto"/>
        <w:rPr>
          <w:rFonts w:ascii="Tahoma" w:hAnsi="Tahoma" w:cs="Tahoma"/>
          <w:color w:val="000000"/>
        </w:rPr>
      </w:pPr>
      <w:r w:rsidRPr="00B15171">
        <w:rPr>
          <w:rFonts w:ascii="Tahoma" w:hAnsi="Tahoma" w:cs="Tahoma"/>
          <w:b/>
          <w:bCs/>
          <w:color w:val="000000"/>
          <w:sz w:val="32"/>
          <w:szCs w:val="32"/>
        </w:rPr>
        <w:lastRenderedPageBreak/>
        <w:t>Indice</w:t>
      </w:r>
    </w:p>
    <w:p w14:paraId="4F09F142" w14:textId="77777777" w:rsidR="00B15171" w:rsidRPr="00B15171" w:rsidRDefault="00B15171" w:rsidP="00B15171">
      <w:pPr>
        <w:pStyle w:val="Corpotesto"/>
        <w:spacing w:after="200" w:line="360" w:lineRule="auto"/>
        <w:rPr>
          <w:rFonts w:ascii="Tahoma" w:hAnsi="Tahoma" w:cs="Tahoma"/>
        </w:rPr>
      </w:pPr>
    </w:p>
    <w:p w14:paraId="297E4225" w14:textId="01AC9D85" w:rsidR="00A8032F" w:rsidRPr="00A8032F" w:rsidRDefault="00B15171" w:rsidP="00A8032F">
      <w:pPr>
        <w:pStyle w:val="Sommario1"/>
        <w:tabs>
          <w:tab w:val="right" w:leader="dot" w:pos="9628"/>
        </w:tabs>
        <w:spacing w:before="60" w:after="60" w:line="326" w:lineRule="auto"/>
        <w:rPr>
          <w:rFonts w:ascii="Tahoma" w:eastAsiaTheme="minorEastAsia" w:hAnsi="Tahoma" w:cs="Tahoma"/>
          <w:b/>
          <w:bCs/>
          <w:noProof/>
          <w:kern w:val="2"/>
          <w:sz w:val="20"/>
          <w:szCs w:val="20"/>
          <w:lang w:eastAsia="it-IT"/>
          <w14:ligatures w14:val="standardContextual"/>
        </w:rPr>
      </w:pPr>
      <w:r w:rsidRPr="00A8032F">
        <w:rPr>
          <w:rFonts w:ascii="Tahoma" w:hAnsi="Tahoma" w:cs="Tahoma"/>
          <w:sz w:val="20"/>
          <w:szCs w:val="20"/>
        </w:rPr>
        <w:fldChar w:fldCharType="begin"/>
      </w:r>
      <w:r w:rsidRPr="00A8032F">
        <w:rPr>
          <w:rFonts w:ascii="Tahoma" w:hAnsi="Tahoma" w:cs="Tahoma"/>
          <w:sz w:val="20"/>
          <w:szCs w:val="20"/>
        </w:rPr>
        <w:instrText xml:space="preserve"> TOC \o "1-3" \h \z \t "Titolo 4;3;Sottotitolo;2" </w:instrText>
      </w:r>
      <w:r w:rsidRPr="00A8032F">
        <w:rPr>
          <w:rFonts w:ascii="Tahoma" w:hAnsi="Tahoma" w:cs="Tahoma"/>
          <w:sz w:val="20"/>
          <w:szCs w:val="20"/>
        </w:rPr>
        <w:fldChar w:fldCharType="separate"/>
      </w:r>
      <w:hyperlink w:anchor="_Toc161309086" w:history="1">
        <w:r w:rsidR="00A8032F" w:rsidRPr="00A8032F">
          <w:rPr>
            <w:rStyle w:val="Collegamentoipertestuale"/>
            <w:rFonts w:ascii="Tahoma" w:hAnsi="Tahoma" w:cs="Tahoma"/>
            <w:b/>
            <w:bCs/>
            <w:noProof/>
            <w:sz w:val="20"/>
            <w:szCs w:val="20"/>
          </w:rPr>
          <w:t>Premessa</w:t>
        </w:r>
        <w:r w:rsidR="00A8032F" w:rsidRPr="00A8032F">
          <w:rPr>
            <w:rFonts w:ascii="Tahoma" w:hAnsi="Tahoma" w:cs="Tahoma"/>
            <w:b/>
            <w:bCs/>
            <w:noProof/>
            <w:webHidden/>
            <w:sz w:val="20"/>
            <w:szCs w:val="20"/>
          </w:rPr>
          <w:tab/>
        </w:r>
        <w:r w:rsidR="00A8032F" w:rsidRPr="00A8032F">
          <w:rPr>
            <w:rFonts w:ascii="Tahoma" w:hAnsi="Tahoma" w:cs="Tahoma"/>
            <w:b/>
            <w:bCs/>
            <w:noProof/>
            <w:webHidden/>
            <w:sz w:val="20"/>
            <w:szCs w:val="20"/>
          </w:rPr>
          <w:fldChar w:fldCharType="begin"/>
        </w:r>
        <w:r w:rsidR="00A8032F" w:rsidRPr="00A8032F">
          <w:rPr>
            <w:rFonts w:ascii="Tahoma" w:hAnsi="Tahoma" w:cs="Tahoma"/>
            <w:b/>
            <w:bCs/>
            <w:noProof/>
            <w:webHidden/>
            <w:sz w:val="20"/>
            <w:szCs w:val="20"/>
          </w:rPr>
          <w:instrText xml:space="preserve"> PAGEREF _Toc161309086 \h </w:instrText>
        </w:r>
        <w:r w:rsidR="00A8032F" w:rsidRPr="00A8032F">
          <w:rPr>
            <w:rFonts w:ascii="Tahoma" w:hAnsi="Tahoma" w:cs="Tahoma"/>
            <w:b/>
            <w:bCs/>
            <w:noProof/>
            <w:webHidden/>
            <w:sz w:val="20"/>
            <w:szCs w:val="20"/>
          </w:rPr>
        </w:r>
        <w:r w:rsidR="00A8032F" w:rsidRPr="00A8032F">
          <w:rPr>
            <w:rFonts w:ascii="Tahoma" w:hAnsi="Tahoma" w:cs="Tahoma"/>
            <w:b/>
            <w:bCs/>
            <w:noProof/>
            <w:webHidden/>
            <w:sz w:val="20"/>
            <w:szCs w:val="20"/>
          </w:rPr>
          <w:fldChar w:fldCharType="separate"/>
        </w:r>
        <w:r w:rsidR="00493351">
          <w:rPr>
            <w:rFonts w:ascii="Tahoma" w:hAnsi="Tahoma" w:cs="Tahoma"/>
            <w:b/>
            <w:bCs/>
            <w:noProof/>
            <w:webHidden/>
            <w:sz w:val="20"/>
            <w:szCs w:val="20"/>
          </w:rPr>
          <w:t>6</w:t>
        </w:r>
        <w:r w:rsidR="00A8032F" w:rsidRPr="00A8032F">
          <w:rPr>
            <w:rFonts w:ascii="Tahoma" w:hAnsi="Tahoma" w:cs="Tahoma"/>
            <w:b/>
            <w:bCs/>
            <w:noProof/>
            <w:webHidden/>
            <w:sz w:val="20"/>
            <w:szCs w:val="20"/>
          </w:rPr>
          <w:fldChar w:fldCharType="end"/>
        </w:r>
      </w:hyperlink>
    </w:p>
    <w:p w14:paraId="6BBC5C5B" w14:textId="20CB29E7" w:rsidR="00A8032F" w:rsidRPr="00A8032F" w:rsidRDefault="00000000" w:rsidP="00A8032F">
      <w:pPr>
        <w:pStyle w:val="Sommario1"/>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87" w:history="1">
        <w:r w:rsidR="00A8032F" w:rsidRPr="00A8032F">
          <w:rPr>
            <w:rStyle w:val="Collegamentoipertestuale"/>
            <w:rFonts w:ascii="Tahoma" w:hAnsi="Tahoma" w:cs="Tahoma"/>
            <w:b/>
            <w:bCs/>
            <w:noProof/>
            <w:sz w:val="20"/>
            <w:szCs w:val="20"/>
          </w:rPr>
          <w:t>1. Il principio di continuità. Obblighi e doveri di sindaci e revisori</w:t>
        </w:r>
        <w:r w:rsidR="00A8032F" w:rsidRPr="00A8032F">
          <w:rPr>
            <w:rFonts w:ascii="Tahoma" w:hAnsi="Tahoma" w:cs="Tahoma"/>
            <w:b/>
            <w:bCs/>
            <w:noProof/>
            <w:webHidden/>
            <w:sz w:val="20"/>
            <w:szCs w:val="20"/>
          </w:rPr>
          <w:tab/>
        </w:r>
        <w:r w:rsidR="00A8032F" w:rsidRPr="00A8032F">
          <w:rPr>
            <w:rFonts w:ascii="Tahoma" w:hAnsi="Tahoma" w:cs="Tahoma"/>
            <w:b/>
            <w:bCs/>
            <w:noProof/>
            <w:webHidden/>
            <w:sz w:val="20"/>
            <w:szCs w:val="20"/>
          </w:rPr>
          <w:fldChar w:fldCharType="begin"/>
        </w:r>
        <w:r w:rsidR="00A8032F" w:rsidRPr="00A8032F">
          <w:rPr>
            <w:rFonts w:ascii="Tahoma" w:hAnsi="Tahoma" w:cs="Tahoma"/>
            <w:b/>
            <w:bCs/>
            <w:noProof/>
            <w:webHidden/>
            <w:sz w:val="20"/>
            <w:szCs w:val="20"/>
          </w:rPr>
          <w:instrText xml:space="preserve"> PAGEREF _Toc161309087 \h </w:instrText>
        </w:r>
        <w:r w:rsidR="00A8032F" w:rsidRPr="00A8032F">
          <w:rPr>
            <w:rFonts w:ascii="Tahoma" w:hAnsi="Tahoma" w:cs="Tahoma"/>
            <w:b/>
            <w:bCs/>
            <w:noProof/>
            <w:webHidden/>
            <w:sz w:val="20"/>
            <w:szCs w:val="20"/>
          </w:rPr>
        </w:r>
        <w:r w:rsidR="00A8032F" w:rsidRPr="00A8032F">
          <w:rPr>
            <w:rFonts w:ascii="Tahoma" w:hAnsi="Tahoma" w:cs="Tahoma"/>
            <w:b/>
            <w:bCs/>
            <w:noProof/>
            <w:webHidden/>
            <w:sz w:val="20"/>
            <w:szCs w:val="20"/>
          </w:rPr>
          <w:fldChar w:fldCharType="separate"/>
        </w:r>
        <w:r w:rsidR="00493351">
          <w:rPr>
            <w:rFonts w:ascii="Tahoma" w:hAnsi="Tahoma" w:cs="Tahoma"/>
            <w:b/>
            <w:bCs/>
            <w:noProof/>
            <w:webHidden/>
            <w:sz w:val="20"/>
            <w:szCs w:val="20"/>
          </w:rPr>
          <w:t>8</w:t>
        </w:r>
        <w:r w:rsidR="00A8032F" w:rsidRPr="00A8032F">
          <w:rPr>
            <w:rFonts w:ascii="Tahoma" w:hAnsi="Tahoma" w:cs="Tahoma"/>
            <w:b/>
            <w:bCs/>
            <w:noProof/>
            <w:webHidden/>
            <w:sz w:val="20"/>
            <w:szCs w:val="20"/>
          </w:rPr>
          <w:fldChar w:fldCharType="end"/>
        </w:r>
      </w:hyperlink>
    </w:p>
    <w:p w14:paraId="343003DF" w14:textId="3ACDA28F"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88" w:history="1">
        <w:r w:rsidR="00A8032F" w:rsidRPr="00A8032F">
          <w:rPr>
            <w:rStyle w:val="Collegamentoipertestuale"/>
            <w:rFonts w:ascii="Tahoma" w:hAnsi="Tahoma" w:cs="Tahoma"/>
            <w:noProof/>
            <w:sz w:val="20"/>
            <w:szCs w:val="20"/>
          </w:rPr>
          <w:t>1.1 La valutazione delle voci di bilancio nella prospettiva della continuazione dell’attività</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_Toc161309088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8</w:t>
        </w:r>
        <w:r w:rsidR="00A8032F" w:rsidRPr="00A8032F">
          <w:rPr>
            <w:rFonts w:ascii="Tahoma" w:hAnsi="Tahoma" w:cs="Tahoma"/>
            <w:noProof/>
            <w:webHidden/>
            <w:sz w:val="20"/>
            <w:szCs w:val="20"/>
          </w:rPr>
          <w:fldChar w:fldCharType="end"/>
        </w:r>
      </w:hyperlink>
    </w:p>
    <w:p w14:paraId="311162BF" w14:textId="62814DF2"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89" w:history="1">
        <w:r w:rsidR="00A8032F" w:rsidRPr="00A8032F">
          <w:rPr>
            <w:rStyle w:val="Collegamentoipertestuale"/>
            <w:rFonts w:ascii="Tahoma" w:hAnsi="Tahoma" w:cs="Tahoma"/>
            <w:noProof/>
            <w:sz w:val="20"/>
            <w:szCs w:val="20"/>
          </w:rPr>
          <w:t>1.2 I controlli del collegio sindacale sulla continuità aziendale</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_Toc161309089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13</w:t>
        </w:r>
        <w:r w:rsidR="00A8032F" w:rsidRPr="00A8032F">
          <w:rPr>
            <w:rFonts w:ascii="Tahoma" w:hAnsi="Tahoma" w:cs="Tahoma"/>
            <w:noProof/>
            <w:webHidden/>
            <w:sz w:val="20"/>
            <w:szCs w:val="20"/>
          </w:rPr>
          <w:fldChar w:fldCharType="end"/>
        </w:r>
      </w:hyperlink>
    </w:p>
    <w:p w14:paraId="0305FFF9" w14:textId="45314B45"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90" w:history="1">
        <w:r w:rsidR="00A8032F" w:rsidRPr="00A8032F">
          <w:rPr>
            <w:rStyle w:val="Collegamentoipertestuale"/>
            <w:rFonts w:ascii="Tahoma" w:hAnsi="Tahoma" w:cs="Tahoma"/>
            <w:noProof/>
            <w:sz w:val="20"/>
            <w:szCs w:val="20"/>
          </w:rPr>
          <w:t>1.3 Le verifiche del revisore sulla continuità aziendale</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_Toc161309090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15</w:t>
        </w:r>
        <w:r w:rsidR="00A8032F" w:rsidRPr="00A8032F">
          <w:rPr>
            <w:rFonts w:ascii="Tahoma" w:hAnsi="Tahoma" w:cs="Tahoma"/>
            <w:noProof/>
            <w:webHidden/>
            <w:sz w:val="20"/>
            <w:szCs w:val="20"/>
          </w:rPr>
          <w:fldChar w:fldCharType="end"/>
        </w:r>
      </w:hyperlink>
    </w:p>
    <w:p w14:paraId="1839AAFB" w14:textId="028C8DF0" w:rsidR="00A8032F" w:rsidRPr="00A8032F" w:rsidRDefault="00000000" w:rsidP="00A8032F">
      <w:pPr>
        <w:pStyle w:val="Sommario1"/>
        <w:tabs>
          <w:tab w:val="right" w:leader="dot" w:pos="9628"/>
        </w:tabs>
        <w:spacing w:before="60" w:after="60" w:line="326" w:lineRule="auto"/>
        <w:rPr>
          <w:rFonts w:ascii="Tahoma" w:eastAsiaTheme="minorEastAsia" w:hAnsi="Tahoma" w:cs="Tahoma"/>
          <w:b/>
          <w:bCs/>
          <w:noProof/>
          <w:kern w:val="2"/>
          <w:sz w:val="20"/>
          <w:szCs w:val="20"/>
          <w:lang w:eastAsia="it-IT"/>
          <w14:ligatures w14:val="standardContextual"/>
        </w:rPr>
      </w:pPr>
      <w:hyperlink w:anchor="_Toc161309091" w:history="1">
        <w:r w:rsidR="00A8032F" w:rsidRPr="00A8032F">
          <w:rPr>
            <w:rStyle w:val="Collegamentoipertestuale"/>
            <w:rFonts w:ascii="Tahoma" w:hAnsi="Tahoma" w:cs="Tahoma"/>
            <w:b/>
            <w:bCs/>
            <w:noProof/>
            <w:sz w:val="20"/>
            <w:szCs w:val="20"/>
          </w:rPr>
          <w:t>2. L’applicazione del principio di continuità nei bilanci 2019 e 2020 e gli effetti sui bilanci successivi</w:t>
        </w:r>
        <w:r w:rsidR="00A8032F" w:rsidRPr="00A8032F">
          <w:rPr>
            <w:rFonts w:ascii="Tahoma" w:hAnsi="Tahoma" w:cs="Tahoma"/>
            <w:b/>
            <w:bCs/>
            <w:noProof/>
            <w:webHidden/>
            <w:sz w:val="20"/>
            <w:szCs w:val="20"/>
          </w:rPr>
          <w:tab/>
        </w:r>
        <w:r w:rsidR="00A8032F" w:rsidRPr="00A8032F">
          <w:rPr>
            <w:rFonts w:ascii="Tahoma" w:hAnsi="Tahoma" w:cs="Tahoma"/>
            <w:b/>
            <w:bCs/>
            <w:noProof/>
            <w:webHidden/>
            <w:sz w:val="20"/>
            <w:szCs w:val="20"/>
          </w:rPr>
          <w:fldChar w:fldCharType="begin"/>
        </w:r>
        <w:r w:rsidR="00A8032F" w:rsidRPr="00A8032F">
          <w:rPr>
            <w:rFonts w:ascii="Tahoma" w:hAnsi="Tahoma" w:cs="Tahoma"/>
            <w:b/>
            <w:bCs/>
            <w:noProof/>
            <w:webHidden/>
            <w:sz w:val="20"/>
            <w:szCs w:val="20"/>
          </w:rPr>
          <w:instrText xml:space="preserve"> PAGEREF _Toc161309091 \h </w:instrText>
        </w:r>
        <w:r w:rsidR="00A8032F" w:rsidRPr="00A8032F">
          <w:rPr>
            <w:rFonts w:ascii="Tahoma" w:hAnsi="Tahoma" w:cs="Tahoma"/>
            <w:b/>
            <w:bCs/>
            <w:noProof/>
            <w:webHidden/>
            <w:sz w:val="20"/>
            <w:szCs w:val="20"/>
          </w:rPr>
        </w:r>
        <w:r w:rsidR="00A8032F" w:rsidRPr="00A8032F">
          <w:rPr>
            <w:rFonts w:ascii="Tahoma" w:hAnsi="Tahoma" w:cs="Tahoma"/>
            <w:b/>
            <w:bCs/>
            <w:noProof/>
            <w:webHidden/>
            <w:sz w:val="20"/>
            <w:szCs w:val="20"/>
          </w:rPr>
          <w:fldChar w:fldCharType="separate"/>
        </w:r>
        <w:r w:rsidR="00493351">
          <w:rPr>
            <w:rFonts w:ascii="Tahoma" w:hAnsi="Tahoma" w:cs="Tahoma"/>
            <w:b/>
            <w:bCs/>
            <w:noProof/>
            <w:webHidden/>
            <w:sz w:val="20"/>
            <w:szCs w:val="20"/>
          </w:rPr>
          <w:t>23</w:t>
        </w:r>
        <w:r w:rsidR="00A8032F" w:rsidRPr="00A8032F">
          <w:rPr>
            <w:rFonts w:ascii="Tahoma" w:hAnsi="Tahoma" w:cs="Tahoma"/>
            <w:b/>
            <w:bCs/>
            <w:noProof/>
            <w:webHidden/>
            <w:sz w:val="20"/>
            <w:szCs w:val="20"/>
          </w:rPr>
          <w:fldChar w:fldCharType="end"/>
        </w:r>
      </w:hyperlink>
    </w:p>
    <w:p w14:paraId="77612983" w14:textId="4FD826CE"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92" w:history="1">
        <w:r w:rsidR="00A8032F" w:rsidRPr="00A8032F">
          <w:rPr>
            <w:rStyle w:val="Collegamentoipertestuale"/>
            <w:rFonts w:ascii="Tahoma" w:hAnsi="Tahoma" w:cs="Tahoma"/>
            <w:noProof/>
            <w:sz w:val="20"/>
            <w:szCs w:val="20"/>
          </w:rPr>
          <w:t>2.1 L’art. 38-</w:t>
        </w:r>
        <w:r w:rsidR="00A8032F" w:rsidRPr="00A8032F">
          <w:rPr>
            <w:rStyle w:val="Collegamentoipertestuale"/>
            <w:rFonts w:ascii="Tahoma" w:hAnsi="Tahoma" w:cs="Tahoma"/>
            <w:i/>
            <w:noProof/>
            <w:sz w:val="20"/>
            <w:szCs w:val="20"/>
          </w:rPr>
          <w:t xml:space="preserve">quater </w:t>
        </w:r>
        <w:r w:rsidR="00A8032F" w:rsidRPr="00A8032F">
          <w:rPr>
            <w:rStyle w:val="Collegamentoipertestuale"/>
            <w:rFonts w:ascii="Tahoma" w:hAnsi="Tahoma" w:cs="Tahoma"/>
            <w:noProof/>
            <w:sz w:val="20"/>
            <w:szCs w:val="20"/>
          </w:rPr>
          <w:t xml:space="preserve"> della L. 77/2020</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_Toc161309092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23</w:t>
        </w:r>
        <w:r w:rsidR="00A8032F" w:rsidRPr="00A8032F">
          <w:rPr>
            <w:rFonts w:ascii="Tahoma" w:hAnsi="Tahoma" w:cs="Tahoma"/>
            <w:noProof/>
            <w:webHidden/>
            <w:sz w:val="20"/>
            <w:szCs w:val="20"/>
          </w:rPr>
          <w:fldChar w:fldCharType="end"/>
        </w:r>
      </w:hyperlink>
    </w:p>
    <w:p w14:paraId="65827E9F" w14:textId="68F03678"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93" w:history="1">
        <w:r w:rsidR="00A8032F" w:rsidRPr="00A8032F">
          <w:rPr>
            <w:rStyle w:val="Collegamentoipertestuale"/>
            <w:rFonts w:ascii="Tahoma" w:hAnsi="Tahoma" w:cs="Tahoma"/>
            <w:noProof/>
            <w:sz w:val="20"/>
            <w:szCs w:val="20"/>
          </w:rPr>
          <w:t>2.2 Il Documento interpretativo n. 8 dell’OIC</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_Toc161309093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25</w:t>
        </w:r>
        <w:r w:rsidR="00A8032F" w:rsidRPr="00A8032F">
          <w:rPr>
            <w:rFonts w:ascii="Tahoma" w:hAnsi="Tahoma" w:cs="Tahoma"/>
            <w:noProof/>
            <w:webHidden/>
            <w:sz w:val="20"/>
            <w:szCs w:val="20"/>
          </w:rPr>
          <w:fldChar w:fldCharType="end"/>
        </w:r>
      </w:hyperlink>
    </w:p>
    <w:p w14:paraId="5A4099AA" w14:textId="23171AF7" w:rsidR="00A8032F" w:rsidRPr="00A8032F" w:rsidRDefault="00000000" w:rsidP="00A8032F">
      <w:pPr>
        <w:pStyle w:val="Sommario1"/>
        <w:tabs>
          <w:tab w:val="right" w:leader="dot" w:pos="9628"/>
        </w:tabs>
        <w:spacing w:before="60" w:after="60" w:line="326" w:lineRule="auto"/>
        <w:rPr>
          <w:rFonts w:ascii="Tahoma" w:eastAsiaTheme="minorEastAsia" w:hAnsi="Tahoma" w:cs="Tahoma"/>
          <w:b/>
          <w:bCs/>
          <w:noProof/>
          <w:kern w:val="2"/>
          <w:sz w:val="20"/>
          <w:szCs w:val="20"/>
          <w:lang w:eastAsia="it-IT"/>
          <w14:ligatures w14:val="standardContextual"/>
        </w:rPr>
      </w:pPr>
      <w:hyperlink w:anchor="_Toc161309094" w:history="1">
        <w:r w:rsidR="00A8032F" w:rsidRPr="00A8032F">
          <w:rPr>
            <w:rStyle w:val="Collegamentoipertestuale"/>
            <w:rFonts w:ascii="Tahoma" w:hAnsi="Tahoma" w:cs="Tahoma"/>
            <w:b/>
            <w:bCs/>
            <w:noProof/>
            <w:sz w:val="20"/>
            <w:szCs w:val="20"/>
          </w:rPr>
          <w:t>3. Il ruolo dei sindaci nell’ipotesi di squilibrio patrimoniale o economico-finanziario</w:t>
        </w:r>
        <w:r w:rsidR="00A8032F" w:rsidRPr="00A8032F">
          <w:rPr>
            <w:rFonts w:ascii="Tahoma" w:hAnsi="Tahoma" w:cs="Tahoma"/>
            <w:b/>
            <w:bCs/>
            <w:noProof/>
            <w:webHidden/>
            <w:sz w:val="20"/>
            <w:szCs w:val="20"/>
          </w:rPr>
          <w:tab/>
        </w:r>
        <w:r w:rsidR="00A8032F" w:rsidRPr="00A8032F">
          <w:rPr>
            <w:rFonts w:ascii="Tahoma" w:hAnsi="Tahoma" w:cs="Tahoma"/>
            <w:b/>
            <w:bCs/>
            <w:noProof/>
            <w:webHidden/>
            <w:sz w:val="20"/>
            <w:szCs w:val="20"/>
          </w:rPr>
          <w:fldChar w:fldCharType="begin"/>
        </w:r>
        <w:r w:rsidR="00A8032F" w:rsidRPr="00A8032F">
          <w:rPr>
            <w:rFonts w:ascii="Tahoma" w:hAnsi="Tahoma" w:cs="Tahoma"/>
            <w:b/>
            <w:bCs/>
            <w:noProof/>
            <w:webHidden/>
            <w:sz w:val="20"/>
            <w:szCs w:val="20"/>
          </w:rPr>
          <w:instrText xml:space="preserve"> PAGEREF _Toc161309094 \h </w:instrText>
        </w:r>
        <w:r w:rsidR="00A8032F" w:rsidRPr="00A8032F">
          <w:rPr>
            <w:rFonts w:ascii="Tahoma" w:hAnsi="Tahoma" w:cs="Tahoma"/>
            <w:b/>
            <w:bCs/>
            <w:noProof/>
            <w:webHidden/>
            <w:sz w:val="20"/>
            <w:szCs w:val="20"/>
          </w:rPr>
        </w:r>
        <w:r w:rsidR="00A8032F" w:rsidRPr="00A8032F">
          <w:rPr>
            <w:rFonts w:ascii="Tahoma" w:hAnsi="Tahoma" w:cs="Tahoma"/>
            <w:b/>
            <w:bCs/>
            <w:noProof/>
            <w:webHidden/>
            <w:sz w:val="20"/>
            <w:szCs w:val="20"/>
          </w:rPr>
          <w:fldChar w:fldCharType="separate"/>
        </w:r>
        <w:r w:rsidR="00493351">
          <w:rPr>
            <w:rFonts w:ascii="Tahoma" w:hAnsi="Tahoma" w:cs="Tahoma"/>
            <w:b/>
            <w:bCs/>
            <w:noProof/>
            <w:webHidden/>
            <w:sz w:val="20"/>
            <w:szCs w:val="20"/>
          </w:rPr>
          <w:t>28</w:t>
        </w:r>
        <w:r w:rsidR="00A8032F" w:rsidRPr="00A8032F">
          <w:rPr>
            <w:rFonts w:ascii="Tahoma" w:hAnsi="Tahoma" w:cs="Tahoma"/>
            <w:b/>
            <w:bCs/>
            <w:noProof/>
            <w:webHidden/>
            <w:sz w:val="20"/>
            <w:szCs w:val="20"/>
          </w:rPr>
          <w:fldChar w:fldCharType="end"/>
        </w:r>
      </w:hyperlink>
    </w:p>
    <w:p w14:paraId="7B53EAEB" w14:textId="4F5357C1"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95" w:history="1">
        <w:r w:rsidR="00A8032F" w:rsidRPr="00A8032F">
          <w:rPr>
            <w:rStyle w:val="Collegamentoipertestuale"/>
            <w:rFonts w:ascii="Tahoma" w:hAnsi="Tahoma" w:cs="Tahoma"/>
            <w:noProof/>
            <w:sz w:val="20"/>
            <w:szCs w:val="20"/>
          </w:rPr>
          <w:t>3.1 Gli adeguati assetti e lo squilibrio</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_Toc161309095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28</w:t>
        </w:r>
        <w:r w:rsidR="00A8032F" w:rsidRPr="00A8032F">
          <w:rPr>
            <w:rFonts w:ascii="Tahoma" w:hAnsi="Tahoma" w:cs="Tahoma"/>
            <w:noProof/>
            <w:webHidden/>
            <w:sz w:val="20"/>
            <w:szCs w:val="20"/>
          </w:rPr>
          <w:fldChar w:fldCharType="end"/>
        </w:r>
      </w:hyperlink>
    </w:p>
    <w:p w14:paraId="5D68233E" w14:textId="3D07E74C"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96" w:history="1">
        <w:r w:rsidR="00A8032F" w:rsidRPr="00A8032F">
          <w:rPr>
            <w:rStyle w:val="Collegamentoipertestuale"/>
            <w:rFonts w:ascii="Tahoma" w:hAnsi="Tahoma" w:cs="Tahoma"/>
            <w:noProof/>
            <w:sz w:val="20"/>
            <w:szCs w:val="20"/>
          </w:rPr>
          <w:t>3.2 L’intervento del Massimario della Cassazione</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_Toc161309096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33</w:t>
        </w:r>
        <w:r w:rsidR="00A8032F" w:rsidRPr="00A8032F">
          <w:rPr>
            <w:rFonts w:ascii="Tahoma" w:hAnsi="Tahoma" w:cs="Tahoma"/>
            <w:noProof/>
            <w:webHidden/>
            <w:sz w:val="20"/>
            <w:szCs w:val="20"/>
          </w:rPr>
          <w:fldChar w:fldCharType="end"/>
        </w:r>
      </w:hyperlink>
    </w:p>
    <w:p w14:paraId="7F1CF4AF" w14:textId="460CDE66"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97" w:history="1">
        <w:r w:rsidR="00A8032F" w:rsidRPr="00A8032F">
          <w:rPr>
            <w:rStyle w:val="Collegamentoipertestuale"/>
            <w:rFonts w:ascii="Tahoma" w:hAnsi="Tahoma" w:cs="Tahoma"/>
            <w:noProof/>
            <w:sz w:val="20"/>
            <w:szCs w:val="20"/>
          </w:rPr>
          <w:t>3.3 Il ruolo dell’organo di controllo</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_Toc161309097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34</w:t>
        </w:r>
        <w:r w:rsidR="00A8032F" w:rsidRPr="00A8032F">
          <w:rPr>
            <w:rFonts w:ascii="Tahoma" w:hAnsi="Tahoma" w:cs="Tahoma"/>
            <w:noProof/>
            <w:webHidden/>
            <w:sz w:val="20"/>
            <w:szCs w:val="20"/>
          </w:rPr>
          <w:fldChar w:fldCharType="end"/>
        </w:r>
      </w:hyperlink>
    </w:p>
    <w:p w14:paraId="14E3E4BF" w14:textId="4B4F3558" w:rsidR="00A8032F" w:rsidRPr="00A8032F" w:rsidRDefault="00000000" w:rsidP="00A8032F">
      <w:pPr>
        <w:pStyle w:val="Sommario1"/>
        <w:tabs>
          <w:tab w:val="right" w:leader="dot" w:pos="9628"/>
        </w:tabs>
        <w:spacing w:before="60" w:after="60" w:line="326" w:lineRule="auto"/>
        <w:rPr>
          <w:rFonts w:ascii="Tahoma" w:eastAsiaTheme="minorEastAsia" w:hAnsi="Tahoma" w:cs="Tahoma"/>
          <w:b/>
          <w:bCs/>
          <w:noProof/>
          <w:kern w:val="2"/>
          <w:sz w:val="20"/>
          <w:szCs w:val="20"/>
          <w:lang w:eastAsia="it-IT"/>
          <w14:ligatures w14:val="standardContextual"/>
        </w:rPr>
      </w:pPr>
      <w:hyperlink w:anchor="_Toc161309098" w:history="1">
        <w:r w:rsidR="00A8032F" w:rsidRPr="00A8032F">
          <w:rPr>
            <w:rStyle w:val="Collegamentoipertestuale"/>
            <w:rFonts w:ascii="Tahoma" w:hAnsi="Tahoma" w:cs="Tahoma"/>
            <w:b/>
            <w:bCs/>
            <w:noProof/>
            <w:sz w:val="20"/>
            <w:szCs w:val="20"/>
          </w:rPr>
          <w:t>4. La disciplina speciale degli ammortamenti</w:t>
        </w:r>
        <w:r w:rsidR="00A8032F" w:rsidRPr="00A8032F">
          <w:rPr>
            <w:rFonts w:ascii="Tahoma" w:hAnsi="Tahoma" w:cs="Tahoma"/>
            <w:b/>
            <w:bCs/>
            <w:noProof/>
            <w:webHidden/>
            <w:sz w:val="20"/>
            <w:szCs w:val="20"/>
          </w:rPr>
          <w:tab/>
        </w:r>
        <w:r w:rsidR="00A8032F" w:rsidRPr="00A8032F">
          <w:rPr>
            <w:rFonts w:ascii="Tahoma" w:hAnsi="Tahoma" w:cs="Tahoma"/>
            <w:b/>
            <w:bCs/>
            <w:noProof/>
            <w:webHidden/>
            <w:sz w:val="20"/>
            <w:szCs w:val="20"/>
          </w:rPr>
          <w:fldChar w:fldCharType="begin"/>
        </w:r>
        <w:r w:rsidR="00A8032F" w:rsidRPr="00A8032F">
          <w:rPr>
            <w:rFonts w:ascii="Tahoma" w:hAnsi="Tahoma" w:cs="Tahoma"/>
            <w:b/>
            <w:bCs/>
            <w:noProof/>
            <w:webHidden/>
            <w:sz w:val="20"/>
            <w:szCs w:val="20"/>
          </w:rPr>
          <w:instrText xml:space="preserve"> PAGEREF _Toc161309098 \h </w:instrText>
        </w:r>
        <w:r w:rsidR="00A8032F" w:rsidRPr="00A8032F">
          <w:rPr>
            <w:rFonts w:ascii="Tahoma" w:hAnsi="Tahoma" w:cs="Tahoma"/>
            <w:b/>
            <w:bCs/>
            <w:noProof/>
            <w:webHidden/>
            <w:sz w:val="20"/>
            <w:szCs w:val="20"/>
          </w:rPr>
        </w:r>
        <w:r w:rsidR="00A8032F" w:rsidRPr="00A8032F">
          <w:rPr>
            <w:rFonts w:ascii="Tahoma" w:hAnsi="Tahoma" w:cs="Tahoma"/>
            <w:b/>
            <w:bCs/>
            <w:noProof/>
            <w:webHidden/>
            <w:sz w:val="20"/>
            <w:szCs w:val="20"/>
          </w:rPr>
          <w:fldChar w:fldCharType="separate"/>
        </w:r>
        <w:r w:rsidR="00493351">
          <w:rPr>
            <w:rFonts w:ascii="Tahoma" w:hAnsi="Tahoma" w:cs="Tahoma"/>
            <w:b/>
            <w:bCs/>
            <w:noProof/>
            <w:webHidden/>
            <w:sz w:val="20"/>
            <w:szCs w:val="20"/>
          </w:rPr>
          <w:t>39</w:t>
        </w:r>
        <w:r w:rsidR="00A8032F" w:rsidRPr="00A8032F">
          <w:rPr>
            <w:rFonts w:ascii="Tahoma" w:hAnsi="Tahoma" w:cs="Tahoma"/>
            <w:b/>
            <w:bCs/>
            <w:noProof/>
            <w:webHidden/>
            <w:sz w:val="20"/>
            <w:szCs w:val="20"/>
          </w:rPr>
          <w:fldChar w:fldCharType="end"/>
        </w:r>
      </w:hyperlink>
    </w:p>
    <w:p w14:paraId="05CB40F1" w14:textId="1F1B83AD"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099" w:history="1">
        <w:r w:rsidR="00A8032F" w:rsidRPr="00A8032F">
          <w:rPr>
            <w:rStyle w:val="Collegamentoipertestuale"/>
            <w:rFonts w:ascii="Tahoma" w:hAnsi="Tahoma" w:cs="Tahoma"/>
            <w:noProof/>
            <w:sz w:val="20"/>
            <w:szCs w:val="20"/>
          </w:rPr>
          <w:t>4.1 La facoltà di deroga</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_Toc161309099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39</w:t>
        </w:r>
        <w:r w:rsidR="00A8032F" w:rsidRPr="00A8032F">
          <w:rPr>
            <w:rFonts w:ascii="Tahoma" w:hAnsi="Tahoma" w:cs="Tahoma"/>
            <w:noProof/>
            <w:webHidden/>
            <w:sz w:val="20"/>
            <w:szCs w:val="20"/>
          </w:rPr>
          <w:fldChar w:fldCharType="end"/>
        </w:r>
      </w:hyperlink>
    </w:p>
    <w:p w14:paraId="618710F3" w14:textId="579C5EC8"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0" w:history="1">
        <w:r w:rsidR="00A8032F" w:rsidRPr="00A8032F">
          <w:rPr>
            <w:rStyle w:val="Collegamentoipertestuale"/>
            <w:rFonts w:ascii="Tahoma" w:hAnsi="Tahoma" w:cs="Tahoma"/>
            <w:noProof/>
            <w:sz w:val="20"/>
            <w:szCs w:val="20"/>
          </w:rPr>
          <w:t>4.2 Il documento interpretativo dell’OIC</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_Toc161309100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46</w:t>
        </w:r>
        <w:r w:rsidR="00A8032F" w:rsidRPr="00A8032F">
          <w:rPr>
            <w:rFonts w:ascii="Tahoma" w:hAnsi="Tahoma" w:cs="Tahoma"/>
            <w:noProof/>
            <w:webHidden/>
            <w:sz w:val="20"/>
            <w:szCs w:val="20"/>
          </w:rPr>
          <w:fldChar w:fldCharType="end"/>
        </w:r>
      </w:hyperlink>
    </w:p>
    <w:p w14:paraId="15A22B59" w14:textId="3B55E195"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1" w:history="1">
        <w:r w:rsidR="00A8032F" w:rsidRPr="00A8032F">
          <w:rPr>
            <w:rStyle w:val="Collegamentoipertestuale"/>
            <w:rFonts w:ascii="Tahoma" w:hAnsi="Tahoma" w:cs="Tahoma"/>
            <w:noProof/>
            <w:sz w:val="20"/>
            <w:szCs w:val="20"/>
          </w:rPr>
          <w:t>4.3 La deroga sugli ammortamenti in più esercizi</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_Toc161309101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46</w:t>
        </w:r>
        <w:r w:rsidR="00A8032F" w:rsidRPr="00A8032F">
          <w:rPr>
            <w:rFonts w:ascii="Tahoma" w:hAnsi="Tahoma" w:cs="Tahoma"/>
            <w:noProof/>
            <w:webHidden/>
            <w:sz w:val="20"/>
            <w:szCs w:val="20"/>
          </w:rPr>
          <w:fldChar w:fldCharType="end"/>
        </w:r>
      </w:hyperlink>
    </w:p>
    <w:p w14:paraId="0965AC7C" w14:textId="121D534C"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2" w:history="1">
        <w:r w:rsidR="00A8032F" w:rsidRPr="00A8032F">
          <w:rPr>
            <w:rStyle w:val="Collegamentoipertestuale"/>
            <w:rFonts w:ascii="Tahoma" w:hAnsi="Tahoma" w:cs="Tahoma"/>
            <w:noProof/>
            <w:sz w:val="20"/>
            <w:szCs w:val="20"/>
          </w:rPr>
          <w:t>4.4 Il ruolo del collegio sindacale per il bilancio 2023</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_Toc161309102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53</w:t>
        </w:r>
        <w:r w:rsidR="00A8032F" w:rsidRPr="00A8032F">
          <w:rPr>
            <w:rFonts w:ascii="Tahoma" w:hAnsi="Tahoma" w:cs="Tahoma"/>
            <w:noProof/>
            <w:webHidden/>
            <w:sz w:val="20"/>
            <w:szCs w:val="20"/>
          </w:rPr>
          <w:fldChar w:fldCharType="end"/>
        </w:r>
      </w:hyperlink>
    </w:p>
    <w:p w14:paraId="1C96B889" w14:textId="22C8694B"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3" w:history="1">
        <w:r w:rsidR="00A8032F" w:rsidRPr="00A8032F">
          <w:rPr>
            <w:rStyle w:val="Collegamentoipertestuale"/>
            <w:rFonts w:ascii="Tahoma" w:hAnsi="Tahoma" w:cs="Tahoma"/>
            <w:noProof/>
            <w:sz w:val="20"/>
            <w:szCs w:val="20"/>
          </w:rPr>
          <w:t>4.5 Il ruolo del revisore per il bilancio 2023</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_Toc161309103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54</w:t>
        </w:r>
        <w:r w:rsidR="00A8032F" w:rsidRPr="00A8032F">
          <w:rPr>
            <w:rFonts w:ascii="Tahoma" w:hAnsi="Tahoma" w:cs="Tahoma"/>
            <w:noProof/>
            <w:webHidden/>
            <w:sz w:val="20"/>
            <w:szCs w:val="20"/>
          </w:rPr>
          <w:fldChar w:fldCharType="end"/>
        </w:r>
      </w:hyperlink>
    </w:p>
    <w:p w14:paraId="5D322F0B" w14:textId="4B0AA697" w:rsidR="00A8032F" w:rsidRPr="00A8032F" w:rsidRDefault="00000000" w:rsidP="00A8032F">
      <w:pPr>
        <w:pStyle w:val="Sommario1"/>
        <w:tabs>
          <w:tab w:val="right" w:leader="dot" w:pos="9628"/>
        </w:tabs>
        <w:spacing w:before="60" w:after="60" w:line="326" w:lineRule="auto"/>
        <w:rPr>
          <w:rFonts w:ascii="Tahoma" w:eastAsiaTheme="minorEastAsia" w:hAnsi="Tahoma" w:cs="Tahoma"/>
          <w:b/>
          <w:bCs/>
          <w:noProof/>
          <w:kern w:val="2"/>
          <w:sz w:val="20"/>
          <w:szCs w:val="20"/>
          <w:lang w:eastAsia="it-IT"/>
          <w14:ligatures w14:val="standardContextual"/>
        </w:rPr>
      </w:pPr>
      <w:hyperlink w:anchor="_Toc161309104" w:history="1">
        <w:r w:rsidR="00A8032F" w:rsidRPr="00A8032F">
          <w:rPr>
            <w:rStyle w:val="Collegamentoipertestuale"/>
            <w:rFonts w:ascii="Tahoma" w:hAnsi="Tahoma" w:cs="Tahoma"/>
            <w:b/>
            <w:bCs/>
            <w:noProof/>
            <w:sz w:val="20"/>
            <w:szCs w:val="20"/>
          </w:rPr>
          <w:t>5. La disciplina speciale delle perdite. Impatto sul bilancio 2023</w:t>
        </w:r>
        <w:r w:rsidR="00A8032F" w:rsidRPr="00A8032F">
          <w:rPr>
            <w:rFonts w:ascii="Tahoma" w:hAnsi="Tahoma" w:cs="Tahoma"/>
            <w:b/>
            <w:bCs/>
            <w:noProof/>
            <w:webHidden/>
            <w:sz w:val="20"/>
            <w:szCs w:val="20"/>
          </w:rPr>
          <w:tab/>
        </w:r>
        <w:r w:rsidR="00A8032F" w:rsidRPr="00A8032F">
          <w:rPr>
            <w:rFonts w:ascii="Tahoma" w:hAnsi="Tahoma" w:cs="Tahoma"/>
            <w:b/>
            <w:bCs/>
            <w:noProof/>
            <w:webHidden/>
            <w:sz w:val="20"/>
            <w:szCs w:val="20"/>
          </w:rPr>
          <w:fldChar w:fldCharType="begin"/>
        </w:r>
        <w:r w:rsidR="00A8032F" w:rsidRPr="00A8032F">
          <w:rPr>
            <w:rFonts w:ascii="Tahoma" w:hAnsi="Tahoma" w:cs="Tahoma"/>
            <w:b/>
            <w:bCs/>
            <w:noProof/>
            <w:webHidden/>
            <w:sz w:val="20"/>
            <w:szCs w:val="20"/>
          </w:rPr>
          <w:instrText xml:space="preserve"> PAGEREF _Toc161309104 \h </w:instrText>
        </w:r>
        <w:r w:rsidR="00A8032F" w:rsidRPr="00A8032F">
          <w:rPr>
            <w:rFonts w:ascii="Tahoma" w:hAnsi="Tahoma" w:cs="Tahoma"/>
            <w:b/>
            <w:bCs/>
            <w:noProof/>
            <w:webHidden/>
            <w:sz w:val="20"/>
            <w:szCs w:val="20"/>
          </w:rPr>
        </w:r>
        <w:r w:rsidR="00A8032F" w:rsidRPr="00A8032F">
          <w:rPr>
            <w:rFonts w:ascii="Tahoma" w:hAnsi="Tahoma" w:cs="Tahoma"/>
            <w:b/>
            <w:bCs/>
            <w:noProof/>
            <w:webHidden/>
            <w:sz w:val="20"/>
            <w:szCs w:val="20"/>
          </w:rPr>
          <w:fldChar w:fldCharType="separate"/>
        </w:r>
        <w:r w:rsidR="00493351">
          <w:rPr>
            <w:rFonts w:ascii="Tahoma" w:hAnsi="Tahoma" w:cs="Tahoma"/>
            <w:b/>
            <w:bCs/>
            <w:noProof/>
            <w:webHidden/>
            <w:sz w:val="20"/>
            <w:szCs w:val="20"/>
          </w:rPr>
          <w:t>56</w:t>
        </w:r>
        <w:r w:rsidR="00A8032F" w:rsidRPr="00A8032F">
          <w:rPr>
            <w:rFonts w:ascii="Tahoma" w:hAnsi="Tahoma" w:cs="Tahoma"/>
            <w:b/>
            <w:bCs/>
            <w:noProof/>
            <w:webHidden/>
            <w:sz w:val="20"/>
            <w:szCs w:val="20"/>
          </w:rPr>
          <w:fldChar w:fldCharType="end"/>
        </w:r>
      </w:hyperlink>
    </w:p>
    <w:p w14:paraId="69439994" w14:textId="5567CDD3"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5" w:history="1">
        <w:r w:rsidR="00A8032F" w:rsidRPr="00A8032F">
          <w:rPr>
            <w:rStyle w:val="Collegamentoipertestuale"/>
            <w:rFonts w:ascii="Tahoma" w:hAnsi="Tahoma" w:cs="Tahoma"/>
            <w:noProof/>
            <w:sz w:val="20"/>
            <w:szCs w:val="20"/>
          </w:rPr>
          <w:t>5.1 La disciplina speciale delle perdite e la sua applicazione per l’esercizio 2020</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_Toc161309105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56</w:t>
        </w:r>
        <w:r w:rsidR="00A8032F" w:rsidRPr="00A8032F">
          <w:rPr>
            <w:rFonts w:ascii="Tahoma" w:hAnsi="Tahoma" w:cs="Tahoma"/>
            <w:noProof/>
            <w:webHidden/>
            <w:sz w:val="20"/>
            <w:szCs w:val="20"/>
          </w:rPr>
          <w:fldChar w:fldCharType="end"/>
        </w:r>
      </w:hyperlink>
    </w:p>
    <w:p w14:paraId="6167A1C6" w14:textId="7000F33E"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6" w:history="1">
        <w:r w:rsidR="00A8032F" w:rsidRPr="00A8032F">
          <w:rPr>
            <w:rStyle w:val="Collegamentoipertestuale"/>
            <w:rFonts w:ascii="Tahoma" w:hAnsi="Tahoma" w:cs="Tahoma"/>
            <w:noProof/>
            <w:sz w:val="20"/>
            <w:szCs w:val="20"/>
          </w:rPr>
          <w:t>5.3 La disciplina straordinaria delle perdite per gli anni 2021 e 2022</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_Toc161309106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62</w:t>
        </w:r>
        <w:r w:rsidR="00A8032F" w:rsidRPr="00A8032F">
          <w:rPr>
            <w:rFonts w:ascii="Tahoma" w:hAnsi="Tahoma" w:cs="Tahoma"/>
            <w:noProof/>
            <w:webHidden/>
            <w:sz w:val="20"/>
            <w:szCs w:val="20"/>
          </w:rPr>
          <w:fldChar w:fldCharType="end"/>
        </w:r>
      </w:hyperlink>
    </w:p>
    <w:p w14:paraId="5FB60F0E" w14:textId="612018E8"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7" w:history="1">
        <w:r w:rsidR="00A8032F" w:rsidRPr="00A8032F">
          <w:rPr>
            <w:rStyle w:val="Collegamentoipertestuale"/>
            <w:rFonts w:ascii="Tahoma" w:hAnsi="Tahoma" w:cs="Tahoma"/>
            <w:noProof/>
            <w:sz w:val="20"/>
            <w:szCs w:val="20"/>
          </w:rPr>
          <w:t>5.4 Le perdite nel bilancio 2023</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_Toc161309107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65</w:t>
        </w:r>
        <w:r w:rsidR="00A8032F" w:rsidRPr="00A8032F">
          <w:rPr>
            <w:rFonts w:ascii="Tahoma" w:hAnsi="Tahoma" w:cs="Tahoma"/>
            <w:noProof/>
            <w:webHidden/>
            <w:sz w:val="20"/>
            <w:szCs w:val="20"/>
          </w:rPr>
          <w:fldChar w:fldCharType="end"/>
        </w:r>
      </w:hyperlink>
    </w:p>
    <w:p w14:paraId="666C7C07" w14:textId="18914AB9"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8" w:history="1">
        <w:r w:rsidR="00A8032F" w:rsidRPr="00A8032F">
          <w:rPr>
            <w:rStyle w:val="Collegamentoipertestuale"/>
            <w:rFonts w:ascii="Tahoma" w:hAnsi="Tahoma" w:cs="Tahoma"/>
            <w:noProof/>
            <w:sz w:val="20"/>
            <w:szCs w:val="20"/>
          </w:rPr>
          <w:t>5.5 Il ruolo dei sindaci</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_Toc161309108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66</w:t>
        </w:r>
        <w:r w:rsidR="00A8032F" w:rsidRPr="00A8032F">
          <w:rPr>
            <w:rFonts w:ascii="Tahoma" w:hAnsi="Tahoma" w:cs="Tahoma"/>
            <w:noProof/>
            <w:webHidden/>
            <w:sz w:val="20"/>
            <w:szCs w:val="20"/>
          </w:rPr>
          <w:fldChar w:fldCharType="end"/>
        </w:r>
      </w:hyperlink>
    </w:p>
    <w:p w14:paraId="6ADF009E" w14:textId="1F252DB9"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09" w:history="1">
        <w:r w:rsidR="00A8032F" w:rsidRPr="00A8032F">
          <w:rPr>
            <w:rStyle w:val="Collegamentoipertestuale"/>
            <w:rFonts w:ascii="Tahoma" w:hAnsi="Tahoma" w:cs="Tahoma"/>
            <w:noProof/>
            <w:sz w:val="20"/>
            <w:szCs w:val="20"/>
          </w:rPr>
          <w:t>5.5 Il ruolo dei revisori</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_Toc161309109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68</w:t>
        </w:r>
        <w:r w:rsidR="00A8032F" w:rsidRPr="00A8032F">
          <w:rPr>
            <w:rFonts w:ascii="Tahoma" w:hAnsi="Tahoma" w:cs="Tahoma"/>
            <w:noProof/>
            <w:webHidden/>
            <w:sz w:val="20"/>
            <w:szCs w:val="20"/>
          </w:rPr>
          <w:fldChar w:fldCharType="end"/>
        </w:r>
      </w:hyperlink>
    </w:p>
    <w:p w14:paraId="082792B5" w14:textId="6917DA60" w:rsidR="00A8032F" w:rsidRPr="00A8032F" w:rsidRDefault="00000000" w:rsidP="00A8032F">
      <w:pPr>
        <w:pStyle w:val="Sommario1"/>
        <w:tabs>
          <w:tab w:val="right" w:leader="dot" w:pos="9628"/>
        </w:tabs>
        <w:spacing w:before="60" w:after="60" w:line="326" w:lineRule="auto"/>
        <w:rPr>
          <w:rFonts w:ascii="Tahoma" w:eastAsiaTheme="minorEastAsia" w:hAnsi="Tahoma" w:cs="Tahoma"/>
          <w:b/>
          <w:bCs/>
          <w:noProof/>
          <w:kern w:val="2"/>
          <w:sz w:val="20"/>
          <w:szCs w:val="20"/>
          <w:lang w:eastAsia="it-IT"/>
          <w14:ligatures w14:val="standardContextual"/>
        </w:rPr>
      </w:pPr>
      <w:hyperlink w:anchor="_Toc161309110" w:history="1">
        <w:r w:rsidR="00A8032F" w:rsidRPr="00A8032F">
          <w:rPr>
            <w:rStyle w:val="Collegamentoipertestuale"/>
            <w:rFonts w:ascii="Tahoma" w:hAnsi="Tahoma" w:cs="Tahoma"/>
            <w:b/>
            <w:bCs/>
            <w:noProof/>
            <w:sz w:val="20"/>
            <w:szCs w:val="20"/>
          </w:rPr>
          <w:t>6. Il riallineamento del magazzino</w:t>
        </w:r>
        <w:r w:rsidR="00A8032F" w:rsidRPr="00A8032F">
          <w:rPr>
            <w:rFonts w:ascii="Tahoma" w:hAnsi="Tahoma" w:cs="Tahoma"/>
            <w:b/>
            <w:bCs/>
            <w:noProof/>
            <w:webHidden/>
            <w:sz w:val="20"/>
            <w:szCs w:val="20"/>
          </w:rPr>
          <w:tab/>
        </w:r>
        <w:r w:rsidR="00A8032F" w:rsidRPr="00A8032F">
          <w:rPr>
            <w:rFonts w:ascii="Tahoma" w:hAnsi="Tahoma" w:cs="Tahoma"/>
            <w:b/>
            <w:bCs/>
            <w:noProof/>
            <w:webHidden/>
            <w:sz w:val="20"/>
            <w:szCs w:val="20"/>
          </w:rPr>
          <w:fldChar w:fldCharType="begin"/>
        </w:r>
        <w:r w:rsidR="00A8032F" w:rsidRPr="00A8032F">
          <w:rPr>
            <w:rFonts w:ascii="Tahoma" w:hAnsi="Tahoma" w:cs="Tahoma"/>
            <w:b/>
            <w:bCs/>
            <w:noProof/>
            <w:webHidden/>
            <w:sz w:val="20"/>
            <w:szCs w:val="20"/>
          </w:rPr>
          <w:instrText xml:space="preserve"> PAGEREF _Toc161309110 \h </w:instrText>
        </w:r>
        <w:r w:rsidR="00A8032F" w:rsidRPr="00A8032F">
          <w:rPr>
            <w:rFonts w:ascii="Tahoma" w:hAnsi="Tahoma" w:cs="Tahoma"/>
            <w:b/>
            <w:bCs/>
            <w:noProof/>
            <w:webHidden/>
            <w:sz w:val="20"/>
            <w:szCs w:val="20"/>
          </w:rPr>
        </w:r>
        <w:r w:rsidR="00A8032F" w:rsidRPr="00A8032F">
          <w:rPr>
            <w:rFonts w:ascii="Tahoma" w:hAnsi="Tahoma" w:cs="Tahoma"/>
            <w:b/>
            <w:bCs/>
            <w:noProof/>
            <w:webHidden/>
            <w:sz w:val="20"/>
            <w:szCs w:val="20"/>
          </w:rPr>
          <w:fldChar w:fldCharType="separate"/>
        </w:r>
        <w:r w:rsidR="00493351">
          <w:rPr>
            <w:rFonts w:ascii="Tahoma" w:hAnsi="Tahoma" w:cs="Tahoma"/>
            <w:b/>
            <w:bCs/>
            <w:noProof/>
            <w:webHidden/>
            <w:sz w:val="20"/>
            <w:szCs w:val="20"/>
          </w:rPr>
          <w:t>70</w:t>
        </w:r>
        <w:r w:rsidR="00A8032F" w:rsidRPr="00A8032F">
          <w:rPr>
            <w:rFonts w:ascii="Tahoma" w:hAnsi="Tahoma" w:cs="Tahoma"/>
            <w:b/>
            <w:bCs/>
            <w:noProof/>
            <w:webHidden/>
            <w:sz w:val="20"/>
            <w:szCs w:val="20"/>
          </w:rPr>
          <w:fldChar w:fldCharType="end"/>
        </w:r>
      </w:hyperlink>
    </w:p>
    <w:p w14:paraId="7133CD0B" w14:textId="5C40E2F1"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11" w:history="1">
        <w:r w:rsidR="00A8032F" w:rsidRPr="00A8032F">
          <w:rPr>
            <w:rStyle w:val="Collegamentoipertestuale"/>
            <w:rFonts w:ascii="Tahoma" w:hAnsi="Tahoma" w:cs="Tahoma"/>
            <w:noProof/>
            <w:sz w:val="20"/>
            <w:szCs w:val="20"/>
          </w:rPr>
          <w:t>6.1 La disciplina del riallineamento del magazzino</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_Toc161309111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70</w:t>
        </w:r>
        <w:r w:rsidR="00A8032F" w:rsidRPr="00A8032F">
          <w:rPr>
            <w:rFonts w:ascii="Tahoma" w:hAnsi="Tahoma" w:cs="Tahoma"/>
            <w:noProof/>
            <w:webHidden/>
            <w:sz w:val="20"/>
            <w:szCs w:val="20"/>
          </w:rPr>
          <w:fldChar w:fldCharType="end"/>
        </w:r>
      </w:hyperlink>
    </w:p>
    <w:p w14:paraId="6B4E0E0A" w14:textId="2E3F75E4" w:rsidR="00A8032F" w:rsidRPr="00A8032F" w:rsidRDefault="00000000" w:rsidP="00A8032F">
      <w:pPr>
        <w:pStyle w:val="Sommario2"/>
        <w:tabs>
          <w:tab w:val="right" w:leader="dot" w:pos="9628"/>
        </w:tabs>
        <w:spacing w:before="60" w:after="60" w:line="326" w:lineRule="auto"/>
        <w:rPr>
          <w:rFonts w:ascii="Tahoma" w:eastAsiaTheme="minorEastAsia" w:hAnsi="Tahoma" w:cs="Tahoma"/>
          <w:noProof/>
          <w:kern w:val="2"/>
          <w:sz w:val="20"/>
          <w:szCs w:val="20"/>
          <w:lang w:eastAsia="it-IT"/>
          <w14:ligatures w14:val="standardContextual"/>
        </w:rPr>
      </w:pPr>
      <w:hyperlink w:anchor="_Toc161309112" w:history="1">
        <w:r w:rsidR="00A8032F" w:rsidRPr="00A8032F">
          <w:rPr>
            <w:rStyle w:val="Collegamentoipertestuale"/>
            <w:rFonts w:ascii="Tahoma" w:hAnsi="Tahoma" w:cs="Tahoma"/>
            <w:noProof/>
            <w:sz w:val="20"/>
            <w:szCs w:val="20"/>
          </w:rPr>
          <w:t>6.2 Criticità per sindaci e revisori</w:t>
        </w:r>
        <w:r w:rsidR="00A8032F" w:rsidRPr="00A8032F">
          <w:rPr>
            <w:rFonts w:ascii="Tahoma" w:hAnsi="Tahoma" w:cs="Tahoma"/>
            <w:noProof/>
            <w:webHidden/>
            <w:sz w:val="20"/>
            <w:szCs w:val="20"/>
          </w:rPr>
          <w:tab/>
        </w:r>
        <w:r w:rsidR="00A8032F" w:rsidRPr="00A8032F">
          <w:rPr>
            <w:rFonts w:ascii="Tahoma" w:hAnsi="Tahoma" w:cs="Tahoma"/>
            <w:noProof/>
            <w:webHidden/>
            <w:sz w:val="20"/>
            <w:szCs w:val="20"/>
          </w:rPr>
          <w:fldChar w:fldCharType="begin"/>
        </w:r>
        <w:r w:rsidR="00A8032F" w:rsidRPr="00A8032F">
          <w:rPr>
            <w:rFonts w:ascii="Tahoma" w:hAnsi="Tahoma" w:cs="Tahoma"/>
            <w:noProof/>
            <w:webHidden/>
            <w:sz w:val="20"/>
            <w:szCs w:val="20"/>
          </w:rPr>
          <w:instrText xml:space="preserve"> PAGEREF _Toc161309112 \h </w:instrText>
        </w:r>
        <w:r w:rsidR="00A8032F" w:rsidRPr="00A8032F">
          <w:rPr>
            <w:rFonts w:ascii="Tahoma" w:hAnsi="Tahoma" w:cs="Tahoma"/>
            <w:noProof/>
            <w:webHidden/>
            <w:sz w:val="20"/>
            <w:szCs w:val="20"/>
          </w:rPr>
        </w:r>
        <w:r w:rsidR="00A8032F" w:rsidRPr="00A8032F">
          <w:rPr>
            <w:rFonts w:ascii="Tahoma" w:hAnsi="Tahoma" w:cs="Tahoma"/>
            <w:noProof/>
            <w:webHidden/>
            <w:sz w:val="20"/>
            <w:szCs w:val="20"/>
          </w:rPr>
          <w:fldChar w:fldCharType="separate"/>
        </w:r>
        <w:r w:rsidR="00493351">
          <w:rPr>
            <w:rFonts w:ascii="Tahoma" w:hAnsi="Tahoma" w:cs="Tahoma"/>
            <w:noProof/>
            <w:webHidden/>
            <w:sz w:val="20"/>
            <w:szCs w:val="20"/>
          </w:rPr>
          <w:t>72</w:t>
        </w:r>
        <w:r w:rsidR="00A8032F" w:rsidRPr="00A8032F">
          <w:rPr>
            <w:rFonts w:ascii="Tahoma" w:hAnsi="Tahoma" w:cs="Tahoma"/>
            <w:noProof/>
            <w:webHidden/>
            <w:sz w:val="20"/>
            <w:szCs w:val="20"/>
          </w:rPr>
          <w:fldChar w:fldCharType="end"/>
        </w:r>
      </w:hyperlink>
    </w:p>
    <w:p w14:paraId="1F242222" w14:textId="2C7D76F7" w:rsidR="00E816A7" w:rsidRPr="00B15171" w:rsidRDefault="00B15171" w:rsidP="00A8032F">
      <w:pPr>
        <w:spacing w:before="60" w:after="60" w:line="326" w:lineRule="auto"/>
        <w:jc w:val="center"/>
        <w:rPr>
          <w:rFonts w:ascii="Tahoma" w:hAnsi="Tahoma" w:cs="Tahoma"/>
          <w:b/>
          <w:sz w:val="20"/>
          <w:szCs w:val="20"/>
        </w:rPr>
      </w:pPr>
      <w:r w:rsidRPr="00A8032F">
        <w:rPr>
          <w:rFonts w:ascii="Tahoma" w:hAnsi="Tahoma" w:cs="Tahoma"/>
          <w:sz w:val="20"/>
          <w:szCs w:val="20"/>
        </w:rPr>
        <w:fldChar w:fldCharType="end"/>
      </w:r>
    </w:p>
    <w:p w14:paraId="346B4583" w14:textId="77777777" w:rsidR="00B15171" w:rsidRDefault="00B15171" w:rsidP="00B15171">
      <w:pPr>
        <w:pStyle w:val="Titolo1"/>
        <w:spacing w:line="360" w:lineRule="auto"/>
        <w:rPr>
          <w:rFonts w:cs="Tahoma"/>
        </w:rPr>
        <w:sectPr w:rsidR="00B15171" w:rsidSect="00CD27CA">
          <w:headerReference w:type="default" r:id="rId33"/>
          <w:footerReference w:type="default" r:id="rId34"/>
          <w:pgSz w:w="11906" w:h="16838" w:code="9"/>
          <w:pgMar w:top="1418" w:right="1134" w:bottom="1134" w:left="1134" w:header="709" w:footer="567" w:gutter="0"/>
          <w:cols w:space="708"/>
          <w:titlePg/>
          <w:docGrid w:linePitch="360"/>
        </w:sectPr>
      </w:pPr>
    </w:p>
    <w:p w14:paraId="483E3231" w14:textId="15D544DD" w:rsidR="00E816A7" w:rsidRPr="00B15171" w:rsidRDefault="00E816A7" w:rsidP="00B15171">
      <w:pPr>
        <w:pStyle w:val="Titolo1"/>
        <w:spacing w:line="360" w:lineRule="auto"/>
        <w:rPr>
          <w:rFonts w:cs="Tahoma"/>
          <w:lang w:val="it-IT"/>
        </w:rPr>
      </w:pPr>
      <w:bookmarkStart w:id="0" w:name="_Toc161309086"/>
      <w:r w:rsidRPr="00B15171">
        <w:rPr>
          <w:rFonts w:cs="Tahoma"/>
        </w:rPr>
        <w:lastRenderedPageBreak/>
        <w:t>P</w:t>
      </w:r>
      <w:r w:rsidR="00B15171" w:rsidRPr="00B15171">
        <w:rPr>
          <w:rFonts w:cs="Tahoma"/>
          <w:lang w:val="it-IT"/>
        </w:rPr>
        <w:t>remessa</w:t>
      </w:r>
      <w:bookmarkEnd w:id="0"/>
    </w:p>
    <w:p w14:paraId="1B8F7A9C" w14:textId="77777777" w:rsidR="00B15171" w:rsidRPr="00B15171" w:rsidRDefault="00B15171" w:rsidP="00B15171">
      <w:pPr>
        <w:spacing w:after="200" w:line="360" w:lineRule="auto"/>
        <w:jc w:val="both"/>
        <w:rPr>
          <w:rFonts w:ascii="Tahoma" w:hAnsi="Tahoma" w:cs="Tahoma"/>
          <w:sz w:val="20"/>
          <w:szCs w:val="20"/>
        </w:rPr>
      </w:pPr>
    </w:p>
    <w:p w14:paraId="6A3A61D3" w14:textId="77777777" w:rsidR="00B15171" w:rsidRPr="00B15171" w:rsidRDefault="00B15171" w:rsidP="00B15171">
      <w:pPr>
        <w:spacing w:after="200" w:line="360" w:lineRule="auto"/>
        <w:jc w:val="both"/>
        <w:rPr>
          <w:rFonts w:ascii="Tahoma" w:hAnsi="Tahoma" w:cs="Tahoma"/>
          <w:sz w:val="20"/>
          <w:szCs w:val="20"/>
        </w:rPr>
      </w:pPr>
    </w:p>
    <w:p w14:paraId="7A3BD2E0" w14:textId="77777777" w:rsidR="00B15171" w:rsidRPr="00B15171" w:rsidRDefault="00B15171" w:rsidP="00B15171">
      <w:pPr>
        <w:spacing w:after="200" w:line="360" w:lineRule="auto"/>
        <w:jc w:val="both"/>
        <w:rPr>
          <w:rFonts w:ascii="Tahoma" w:hAnsi="Tahoma" w:cs="Tahoma"/>
          <w:sz w:val="20"/>
          <w:szCs w:val="20"/>
        </w:rPr>
      </w:pPr>
    </w:p>
    <w:p w14:paraId="32DB0DDD" w14:textId="77777777" w:rsidR="00B15171" w:rsidRPr="00B15171" w:rsidRDefault="00B15171" w:rsidP="00B15171">
      <w:pPr>
        <w:spacing w:after="200" w:line="360" w:lineRule="auto"/>
        <w:jc w:val="both"/>
        <w:rPr>
          <w:rFonts w:ascii="Tahoma" w:hAnsi="Tahoma" w:cs="Tahoma"/>
          <w:sz w:val="20"/>
          <w:szCs w:val="20"/>
        </w:rPr>
      </w:pPr>
    </w:p>
    <w:p w14:paraId="27B20438" w14:textId="77777777" w:rsidR="00B15171" w:rsidRPr="00B15171" w:rsidRDefault="00B15171" w:rsidP="00B15171">
      <w:pPr>
        <w:spacing w:after="200" w:line="360" w:lineRule="auto"/>
        <w:jc w:val="both"/>
        <w:rPr>
          <w:rFonts w:ascii="Tahoma" w:hAnsi="Tahoma" w:cs="Tahoma"/>
          <w:sz w:val="20"/>
          <w:szCs w:val="20"/>
        </w:rPr>
      </w:pPr>
    </w:p>
    <w:p w14:paraId="2C5F6AC2" w14:textId="77777777" w:rsidR="00B15171" w:rsidRPr="00B15171" w:rsidRDefault="00B15171" w:rsidP="00B15171">
      <w:pPr>
        <w:spacing w:after="200" w:line="360" w:lineRule="auto"/>
        <w:jc w:val="both"/>
        <w:rPr>
          <w:rFonts w:ascii="Tahoma" w:hAnsi="Tahoma" w:cs="Tahoma"/>
          <w:sz w:val="20"/>
          <w:szCs w:val="20"/>
        </w:rPr>
      </w:pPr>
    </w:p>
    <w:p w14:paraId="1518525A" w14:textId="7358AFDB" w:rsidR="00E816A7" w:rsidRPr="00B15171" w:rsidRDefault="00E816A7" w:rsidP="00B15171">
      <w:pPr>
        <w:spacing w:after="200" w:line="360" w:lineRule="auto"/>
        <w:jc w:val="both"/>
        <w:rPr>
          <w:rFonts w:ascii="Tahoma" w:hAnsi="Tahoma" w:cs="Tahoma"/>
          <w:sz w:val="20"/>
          <w:szCs w:val="20"/>
        </w:rPr>
      </w:pPr>
      <w:r w:rsidRPr="00B15171">
        <w:rPr>
          <w:rFonts w:ascii="Tahoma" w:hAnsi="Tahoma" w:cs="Tahoma"/>
          <w:sz w:val="20"/>
          <w:szCs w:val="20"/>
        </w:rPr>
        <w:t>L’emergenza sanitaria e la conseguente emergenza economica dell’anno 2020 hanno avuto una ovvia e pesante ricaduta anc</w:t>
      </w:r>
      <w:r w:rsidR="000D3851" w:rsidRPr="00B15171">
        <w:rPr>
          <w:rFonts w:ascii="Tahoma" w:hAnsi="Tahoma" w:cs="Tahoma"/>
          <w:sz w:val="20"/>
          <w:szCs w:val="20"/>
        </w:rPr>
        <w:t xml:space="preserve">he sui bilanci, non solo sotto il profilo dei risultati economici ma anche in relazione alle regole e ai postulati rilevanti per la </w:t>
      </w:r>
      <w:r w:rsidR="009D4F2C" w:rsidRPr="00B15171">
        <w:rPr>
          <w:rFonts w:ascii="Tahoma" w:hAnsi="Tahoma" w:cs="Tahoma"/>
          <w:sz w:val="20"/>
          <w:szCs w:val="20"/>
        </w:rPr>
        <w:t>loro redazione</w:t>
      </w:r>
      <w:r w:rsidR="000D3851" w:rsidRPr="00B15171">
        <w:rPr>
          <w:rFonts w:ascii="Tahoma" w:hAnsi="Tahoma" w:cs="Tahoma"/>
          <w:sz w:val="20"/>
          <w:szCs w:val="20"/>
        </w:rPr>
        <w:t>.</w:t>
      </w:r>
    </w:p>
    <w:p w14:paraId="611C0449" w14:textId="2D3F4594" w:rsidR="000D3851" w:rsidRPr="00B15171" w:rsidRDefault="000D3851" w:rsidP="00B15171">
      <w:pPr>
        <w:spacing w:after="200" w:line="360" w:lineRule="auto"/>
        <w:jc w:val="both"/>
        <w:rPr>
          <w:rFonts w:ascii="Tahoma" w:hAnsi="Tahoma" w:cs="Tahoma"/>
          <w:sz w:val="20"/>
          <w:szCs w:val="20"/>
        </w:rPr>
      </w:pPr>
      <w:r w:rsidRPr="00B15171">
        <w:rPr>
          <w:rFonts w:ascii="Tahoma" w:hAnsi="Tahoma" w:cs="Tahoma"/>
          <w:sz w:val="20"/>
          <w:szCs w:val="20"/>
        </w:rPr>
        <w:t>Nei primi mesi dell’emergenza, l’esigenza principale è stata la messa in sicurezza dei bilanci al 31 dice</w:t>
      </w:r>
      <w:r w:rsidR="00EA08AC" w:rsidRPr="00B15171">
        <w:rPr>
          <w:rFonts w:ascii="Tahoma" w:hAnsi="Tahoma" w:cs="Tahoma"/>
          <w:sz w:val="20"/>
          <w:szCs w:val="20"/>
        </w:rPr>
        <w:t>mbre 2019, mediante disposizioni</w:t>
      </w:r>
      <w:r w:rsidRPr="00B15171">
        <w:rPr>
          <w:rFonts w:ascii="Tahoma" w:hAnsi="Tahoma" w:cs="Tahoma"/>
          <w:sz w:val="20"/>
          <w:szCs w:val="20"/>
        </w:rPr>
        <w:t xml:space="preserve"> che sterilizzassero gli effetti depressivi </w:t>
      </w:r>
      <w:r w:rsidR="00EA08AC" w:rsidRPr="00B15171">
        <w:rPr>
          <w:rFonts w:ascii="Tahoma" w:hAnsi="Tahoma" w:cs="Tahoma"/>
          <w:sz w:val="20"/>
          <w:szCs w:val="20"/>
        </w:rPr>
        <w:t xml:space="preserve">dei fatti e delle circostanze </w:t>
      </w:r>
      <w:r w:rsidRPr="00B15171">
        <w:rPr>
          <w:rFonts w:ascii="Tahoma" w:hAnsi="Tahoma" w:cs="Tahoma"/>
          <w:sz w:val="20"/>
          <w:szCs w:val="20"/>
        </w:rPr>
        <w:t>successivi alla data di riferimento del bilancio; nel corso dell’anno 2020 le norme</w:t>
      </w:r>
      <w:r w:rsidR="00EA08AC" w:rsidRPr="00B15171">
        <w:rPr>
          <w:rFonts w:ascii="Tahoma" w:hAnsi="Tahoma" w:cs="Tahoma"/>
          <w:sz w:val="20"/>
          <w:szCs w:val="20"/>
        </w:rPr>
        <w:t>,</w:t>
      </w:r>
      <w:r w:rsidRPr="00B15171">
        <w:rPr>
          <w:rFonts w:ascii="Tahoma" w:hAnsi="Tahoma" w:cs="Tahoma"/>
          <w:sz w:val="20"/>
          <w:szCs w:val="20"/>
        </w:rPr>
        <w:t xml:space="preserve"> che erano affette da imprecisioni dovute alla fretta e all’emergenza, sono state migliorate e rese più logiche ed efficaci ed il legislatore si è potuto dedicare a costruire gli strumenti di difesa sul bilancio 2020, confidando in una risoluzione della crisi sanitaria e della crisi economica nel corso del 2021.</w:t>
      </w:r>
    </w:p>
    <w:p w14:paraId="6F5CFCBB" w14:textId="08D1C2A8" w:rsidR="00BD2E72" w:rsidRPr="00B15171" w:rsidRDefault="00BD2E72" w:rsidP="00B15171">
      <w:pPr>
        <w:spacing w:after="200" w:line="360" w:lineRule="auto"/>
        <w:jc w:val="both"/>
        <w:rPr>
          <w:rFonts w:ascii="Tahoma" w:hAnsi="Tahoma" w:cs="Tahoma"/>
          <w:sz w:val="20"/>
          <w:szCs w:val="20"/>
        </w:rPr>
      </w:pPr>
      <w:r w:rsidRPr="00B15171">
        <w:rPr>
          <w:rFonts w:ascii="Tahoma" w:hAnsi="Tahoma" w:cs="Tahoma"/>
          <w:sz w:val="20"/>
          <w:szCs w:val="20"/>
        </w:rPr>
        <w:t xml:space="preserve">Anche nei primi mesi dell’anno 2021 si è purtroppo dovuto assistere alla chiusura di interi settori produttivi, a chiusure forzate, a ingressi contingentati e addirittura al coprifuoco, così che anche l’esercizio 2021 è un anno che, per molte aziende, è stato di sofferenza </w:t>
      </w:r>
      <w:r w:rsidR="001A21EE" w:rsidRPr="00B15171">
        <w:rPr>
          <w:rFonts w:ascii="Tahoma" w:hAnsi="Tahoma" w:cs="Tahoma"/>
          <w:sz w:val="20"/>
          <w:szCs w:val="20"/>
        </w:rPr>
        <w:t>o, al massimo, d</w:t>
      </w:r>
      <w:r w:rsidRPr="00B15171">
        <w:rPr>
          <w:rFonts w:ascii="Tahoma" w:hAnsi="Tahoma" w:cs="Tahoma"/>
          <w:sz w:val="20"/>
          <w:szCs w:val="20"/>
        </w:rPr>
        <w:t xml:space="preserve">i resistenza. </w:t>
      </w:r>
    </w:p>
    <w:p w14:paraId="722562E5" w14:textId="1C7E3BEE" w:rsidR="001402F2" w:rsidRPr="00B15171" w:rsidRDefault="001402F2" w:rsidP="00B15171">
      <w:pPr>
        <w:spacing w:after="200" w:line="360" w:lineRule="auto"/>
        <w:jc w:val="both"/>
        <w:rPr>
          <w:rFonts w:ascii="Tahoma" w:hAnsi="Tahoma" w:cs="Tahoma"/>
          <w:sz w:val="20"/>
          <w:szCs w:val="20"/>
        </w:rPr>
      </w:pPr>
      <w:r w:rsidRPr="00B15171">
        <w:rPr>
          <w:rFonts w:ascii="Tahoma" w:hAnsi="Tahoma" w:cs="Tahoma"/>
          <w:sz w:val="20"/>
          <w:szCs w:val="20"/>
        </w:rPr>
        <w:t xml:space="preserve">Quando si pensava finalmente di poter uscire dall’emergenza, l’invasione dell’Ucraina e </w:t>
      </w:r>
      <w:r w:rsidR="001705CD" w:rsidRPr="00B15171">
        <w:rPr>
          <w:rFonts w:ascii="Tahoma" w:hAnsi="Tahoma" w:cs="Tahoma"/>
          <w:sz w:val="20"/>
          <w:szCs w:val="20"/>
        </w:rPr>
        <w:t>l’</w:t>
      </w:r>
      <w:r w:rsidRPr="00B15171">
        <w:rPr>
          <w:rFonts w:ascii="Tahoma" w:hAnsi="Tahoma" w:cs="Tahoma"/>
          <w:sz w:val="20"/>
          <w:szCs w:val="20"/>
        </w:rPr>
        <w:t xml:space="preserve">aumento incontrollato dei costi per gas ed energia elettrica hanno impedito che il 2022 fosse finalmente </w:t>
      </w:r>
      <w:r w:rsidR="001705CD" w:rsidRPr="00B15171">
        <w:rPr>
          <w:rFonts w:ascii="Tahoma" w:hAnsi="Tahoma" w:cs="Tahoma"/>
          <w:sz w:val="20"/>
          <w:szCs w:val="20"/>
        </w:rPr>
        <w:t>l’</w:t>
      </w:r>
      <w:r w:rsidRPr="00B15171">
        <w:rPr>
          <w:rFonts w:ascii="Tahoma" w:hAnsi="Tahoma" w:cs="Tahoma"/>
          <w:sz w:val="20"/>
          <w:szCs w:val="20"/>
        </w:rPr>
        <w:t>anno in cui potessero essere riattivate le normali regole in ordine alla stesura dei bilanci e alle conseguenti deliberazioni e quindi il legislatore è stato costretto a confermare anche per quest’anno discipline speciali.</w:t>
      </w:r>
    </w:p>
    <w:p w14:paraId="19B38F77" w14:textId="251FEBF9" w:rsidR="001402F2" w:rsidRDefault="001402F2" w:rsidP="00B15171">
      <w:pPr>
        <w:spacing w:after="200" w:line="360" w:lineRule="auto"/>
        <w:jc w:val="both"/>
        <w:rPr>
          <w:rFonts w:ascii="Tahoma" w:hAnsi="Tahoma" w:cs="Tahoma"/>
          <w:sz w:val="20"/>
          <w:szCs w:val="20"/>
        </w:rPr>
      </w:pPr>
      <w:r w:rsidRPr="00B15171">
        <w:rPr>
          <w:rFonts w:ascii="Tahoma" w:hAnsi="Tahoma" w:cs="Tahoma"/>
          <w:sz w:val="20"/>
          <w:szCs w:val="20"/>
        </w:rPr>
        <w:t>A questo si aggiunge anche, per quel che riguarda le società e i sindaci, l’entrata in vigore del nuovo Codice della Crisi di Impresa e dell’Insolvenza, che ha incrementato gli obblighi di verifica, anche infrannuale, dell’equilibrio economico, finanziario e patrimoniale delle soci</w:t>
      </w:r>
      <w:r w:rsidR="001C0B28" w:rsidRPr="00B15171">
        <w:rPr>
          <w:rFonts w:ascii="Tahoma" w:hAnsi="Tahoma" w:cs="Tahoma"/>
          <w:sz w:val="20"/>
          <w:szCs w:val="20"/>
        </w:rPr>
        <w:t>e</w:t>
      </w:r>
      <w:r w:rsidRPr="00B15171">
        <w:rPr>
          <w:rFonts w:ascii="Tahoma" w:hAnsi="Tahoma" w:cs="Tahoma"/>
          <w:sz w:val="20"/>
          <w:szCs w:val="20"/>
        </w:rPr>
        <w:t>tà e le responsabilità degli organi di controllo.</w:t>
      </w:r>
    </w:p>
    <w:p w14:paraId="6095DBE9" w14:textId="77838C59" w:rsidR="003503C0" w:rsidRPr="00B15171" w:rsidRDefault="003503C0" w:rsidP="00B15171">
      <w:pPr>
        <w:spacing w:after="200" w:line="360" w:lineRule="auto"/>
        <w:jc w:val="both"/>
        <w:rPr>
          <w:rFonts w:ascii="Tahoma" w:hAnsi="Tahoma" w:cs="Tahoma"/>
          <w:sz w:val="20"/>
          <w:szCs w:val="20"/>
        </w:rPr>
      </w:pPr>
      <w:r>
        <w:rPr>
          <w:rFonts w:ascii="Tahoma" w:hAnsi="Tahoma" w:cs="Tahoma"/>
          <w:sz w:val="20"/>
          <w:szCs w:val="20"/>
        </w:rPr>
        <w:t>L’anno 2023 ha ancora strascichi delle normative emergenziali, in tema di ammortamenti e in ambito di riporto delle perdite, principalmente. Inoltre, è stata introdotta una norma concernente il riallineamento del magazzino, che può comportare criticità, anche rilevanti, per revisori e sindaci.</w:t>
      </w:r>
    </w:p>
    <w:p w14:paraId="0ADD4A33" w14:textId="6706EA53" w:rsidR="000D3851" w:rsidRPr="00B15171" w:rsidRDefault="000D3851" w:rsidP="00B15171">
      <w:pPr>
        <w:spacing w:after="200" w:line="360" w:lineRule="auto"/>
        <w:jc w:val="both"/>
        <w:rPr>
          <w:rFonts w:ascii="Tahoma" w:hAnsi="Tahoma" w:cs="Tahoma"/>
          <w:sz w:val="20"/>
          <w:szCs w:val="20"/>
        </w:rPr>
      </w:pPr>
      <w:r w:rsidRPr="00B15171">
        <w:rPr>
          <w:rFonts w:ascii="Tahoma" w:hAnsi="Tahoma" w:cs="Tahoma"/>
          <w:sz w:val="20"/>
          <w:szCs w:val="20"/>
        </w:rPr>
        <w:t>Vogliamo quindi esaminare qui le norme</w:t>
      </w:r>
      <w:r w:rsidR="003503C0">
        <w:rPr>
          <w:rFonts w:ascii="Tahoma" w:hAnsi="Tahoma" w:cs="Tahoma"/>
          <w:sz w:val="20"/>
          <w:szCs w:val="20"/>
        </w:rPr>
        <w:t xml:space="preserve"> specifiche</w:t>
      </w:r>
      <w:r w:rsidRPr="00B15171">
        <w:rPr>
          <w:rFonts w:ascii="Tahoma" w:hAnsi="Tahoma" w:cs="Tahoma"/>
          <w:sz w:val="20"/>
          <w:szCs w:val="20"/>
        </w:rPr>
        <w:t xml:space="preserve"> che impattano sul bilancio </w:t>
      </w:r>
      <w:r w:rsidR="00BD2E72" w:rsidRPr="00B15171">
        <w:rPr>
          <w:rFonts w:ascii="Tahoma" w:hAnsi="Tahoma" w:cs="Tahoma"/>
          <w:sz w:val="20"/>
          <w:szCs w:val="20"/>
        </w:rPr>
        <w:t>202</w:t>
      </w:r>
      <w:r w:rsidR="003503C0">
        <w:rPr>
          <w:rFonts w:ascii="Tahoma" w:hAnsi="Tahoma" w:cs="Tahoma"/>
          <w:sz w:val="20"/>
          <w:szCs w:val="20"/>
        </w:rPr>
        <w:t xml:space="preserve">3 </w:t>
      </w:r>
      <w:r w:rsidR="001402F2" w:rsidRPr="00B15171">
        <w:rPr>
          <w:rFonts w:ascii="Tahoma" w:hAnsi="Tahoma" w:cs="Tahoma"/>
          <w:sz w:val="20"/>
          <w:szCs w:val="20"/>
        </w:rPr>
        <w:t>e le novità in termini di obblighi per le società e gli organi di controllo</w:t>
      </w:r>
      <w:r w:rsidRPr="00B15171">
        <w:rPr>
          <w:rFonts w:ascii="Tahoma" w:hAnsi="Tahoma" w:cs="Tahoma"/>
          <w:sz w:val="20"/>
          <w:szCs w:val="20"/>
        </w:rPr>
        <w:t>.</w:t>
      </w:r>
    </w:p>
    <w:p w14:paraId="66744CA9" w14:textId="77777777" w:rsidR="000D3851" w:rsidRPr="00B15171" w:rsidRDefault="000D3851"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Verranno quindi esaminati i compiti, i doveri e le criticità che si trovano e si troveranno davanti le società di capitali, i loro consulent</w:t>
      </w:r>
      <w:r w:rsidR="00076278" w:rsidRPr="00B15171">
        <w:rPr>
          <w:rFonts w:ascii="Tahoma" w:hAnsi="Tahoma" w:cs="Tahoma"/>
          <w:sz w:val="20"/>
          <w:szCs w:val="20"/>
        </w:rPr>
        <w:t>i, i sindaci ed i revisori.</w:t>
      </w:r>
    </w:p>
    <w:p w14:paraId="16ADC9D6" w14:textId="418CD200"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Si procederà dapprima ad esaminare in generale il principio di continuità, per poi procedere ad esaminare le norme specifiche per il bilancio </w:t>
      </w:r>
      <w:r w:rsidR="003503C0">
        <w:rPr>
          <w:rFonts w:ascii="Tahoma" w:hAnsi="Tahoma" w:cs="Tahoma"/>
          <w:sz w:val="20"/>
          <w:szCs w:val="20"/>
        </w:rPr>
        <w:t xml:space="preserve">2023 </w:t>
      </w:r>
      <w:r w:rsidRPr="00B15171">
        <w:rPr>
          <w:rFonts w:ascii="Tahoma" w:hAnsi="Tahoma" w:cs="Tahoma"/>
          <w:sz w:val="20"/>
          <w:szCs w:val="20"/>
        </w:rPr>
        <w:t>in tema di continuità, ammortamenti</w:t>
      </w:r>
      <w:r w:rsidR="003503C0">
        <w:rPr>
          <w:rFonts w:ascii="Tahoma" w:hAnsi="Tahoma" w:cs="Tahoma"/>
          <w:sz w:val="20"/>
          <w:szCs w:val="20"/>
        </w:rPr>
        <w:t>,</w:t>
      </w:r>
      <w:r w:rsidR="003976C0">
        <w:rPr>
          <w:rFonts w:ascii="Tahoma" w:hAnsi="Tahoma" w:cs="Tahoma"/>
          <w:sz w:val="20"/>
          <w:szCs w:val="20"/>
        </w:rPr>
        <w:t xml:space="preserve"> </w:t>
      </w:r>
      <w:r w:rsidRPr="00B15171">
        <w:rPr>
          <w:rFonts w:ascii="Tahoma" w:hAnsi="Tahoma" w:cs="Tahoma"/>
          <w:sz w:val="20"/>
          <w:szCs w:val="20"/>
        </w:rPr>
        <w:t>perdite rilevanti</w:t>
      </w:r>
      <w:r w:rsidR="003503C0">
        <w:rPr>
          <w:rFonts w:ascii="Tahoma" w:hAnsi="Tahoma" w:cs="Tahoma"/>
          <w:sz w:val="20"/>
          <w:szCs w:val="20"/>
        </w:rPr>
        <w:t xml:space="preserve"> e riallineamento di magazzino</w:t>
      </w:r>
      <w:r w:rsidRPr="00B15171">
        <w:rPr>
          <w:rFonts w:ascii="Tahoma" w:hAnsi="Tahoma" w:cs="Tahoma"/>
          <w:sz w:val="20"/>
          <w:szCs w:val="20"/>
        </w:rPr>
        <w:t>.</w:t>
      </w:r>
    </w:p>
    <w:p w14:paraId="425DE0C7" w14:textId="4518F2BB" w:rsidR="001705CD" w:rsidRPr="00B15171" w:rsidRDefault="001705CD" w:rsidP="00B15171">
      <w:pPr>
        <w:spacing w:after="200" w:line="360" w:lineRule="auto"/>
        <w:jc w:val="both"/>
        <w:rPr>
          <w:rFonts w:ascii="Tahoma" w:hAnsi="Tahoma" w:cs="Tahoma"/>
          <w:sz w:val="20"/>
          <w:szCs w:val="20"/>
        </w:rPr>
      </w:pPr>
      <w:r w:rsidRPr="00B15171">
        <w:rPr>
          <w:rFonts w:ascii="Tahoma" w:hAnsi="Tahoma" w:cs="Tahoma"/>
          <w:sz w:val="20"/>
          <w:szCs w:val="20"/>
        </w:rPr>
        <w:t>Verrà inoltre commentata la disciplina del sistema dei controlli nell’ambito della prevenzione della crisi d’impresa.</w:t>
      </w:r>
    </w:p>
    <w:p w14:paraId="6DA25B6D" w14:textId="77777777" w:rsidR="00B15171" w:rsidRDefault="00B15171" w:rsidP="00B15171">
      <w:pPr>
        <w:pStyle w:val="Titolo2"/>
        <w:spacing w:line="360" w:lineRule="auto"/>
        <w:rPr>
          <w:rFonts w:cs="Tahoma"/>
        </w:rPr>
        <w:sectPr w:rsidR="00B15171" w:rsidSect="00CD27CA">
          <w:pgSz w:w="11906" w:h="16838" w:code="9"/>
          <w:pgMar w:top="1418" w:right="1134" w:bottom="1134" w:left="1134" w:header="709" w:footer="567" w:gutter="0"/>
          <w:cols w:space="708"/>
          <w:titlePg/>
          <w:docGrid w:linePitch="360"/>
        </w:sectPr>
      </w:pPr>
    </w:p>
    <w:bookmarkStart w:id="1" w:name="_Toc161309087"/>
    <w:p w14:paraId="33D0281C" w14:textId="412996D1" w:rsidR="0096062D" w:rsidRPr="00B15171" w:rsidRDefault="00AC4992" w:rsidP="00AC4992">
      <w:pPr>
        <w:pStyle w:val="Titolo1"/>
        <w:ind w:left="0" w:firstLine="0"/>
      </w:pPr>
      <w:r w:rsidRPr="00B15171">
        <w:rPr>
          <w:rFonts w:cs="Tahoma"/>
          <w:b w:val="0"/>
          <w:bCs w:val="0"/>
          <w:noProof/>
        </w:rPr>
        <w:lastRenderedPageBreak/>
        <mc:AlternateContent>
          <mc:Choice Requires="wps">
            <w:drawing>
              <wp:anchor distT="4294967292" distB="4294967292" distL="114300" distR="114300" simplePos="0" relativeHeight="251667456" behindDoc="0" locked="0" layoutInCell="1" allowOverlap="1" wp14:anchorId="63541A5D" wp14:editId="738BAB56">
                <wp:simplePos x="0" y="0"/>
                <wp:positionH relativeFrom="margin">
                  <wp:align>center</wp:align>
                </wp:positionH>
                <wp:positionV relativeFrom="paragraph">
                  <wp:posOffset>250825</wp:posOffset>
                </wp:positionV>
                <wp:extent cx="2443480" cy="0"/>
                <wp:effectExtent l="19050" t="19050" r="33020" b="38100"/>
                <wp:wrapNone/>
                <wp:docPr id="3" name="Connettore 2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544181" id="_x0000_t32" coordsize="21600,21600" o:spt="32" o:oned="t" path="m,l21600,21600e" filled="f">
                <v:path arrowok="t" fillok="f" o:connecttype="none"/>
                <o:lock v:ext="edit" shapetype="t"/>
              </v:shapetype>
              <v:shape id="Connettore 2 3" o:spid="_x0000_s1026" type="#_x0000_t32" style="position:absolute;margin-left:0;margin-top:19.75pt;width:192.4pt;height:0;z-index:25166745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" strokecolor="#404040" strokeweight=".53mm">
                <v:stroke joinstyle="miter" endcap="square"/>
                <w10:wrap anchorx="margin"/>
              </v:shape>
            </w:pict>
          </mc:Fallback>
        </mc:AlternateContent>
      </w:r>
      <w:r w:rsidR="00B15171">
        <w:t>1.</w:t>
      </w:r>
      <w:r w:rsidRPr="003B3176">
        <w:br/>
      </w:r>
      <w:r w:rsidR="0096062D" w:rsidRPr="00B15171">
        <w:t>I</w:t>
      </w:r>
      <w:r w:rsidR="00B15171" w:rsidRPr="00B15171">
        <w:t>l principio di continuit</w:t>
      </w:r>
      <w:r w:rsidR="00B15171">
        <w:t>à</w:t>
      </w:r>
      <w:r w:rsidR="00B15171" w:rsidRPr="00B15171">
        <w:t xml:space="preserve">. </w:t>
      </w:r>
      <w:r w:rsidR="00B15171">
        <w:rPr>
          <w:lang w:val="it-IT"/>
        </w:rPr>
        <w:t>O</w:t>
      </w:r>
      <w:proofErr w:type="spellStart"/>
      <w:r w:rsidR="00B15171" w:rsidRPr="00B15171">
        <w:t>bblighi</w:t>
      </w:r>
      <w:proofErr w:type="spellEnd"/>
      <w:r w:rsidR="00B15171" w:rsidRPr="00B15171">
        <w:t xml:space="preserve"> e doveri di sindaci e revisori</w:t>
      </w:r>
      <w:bookmarkEnd w:id="1"/>
    </w:p>
    <w:p w14:paraId="539F8B65" w14:textId="77777777" w:rsidR="0096062D" w:rsidRPr="00B15171" w:rsidRDefault="0096062D" w:rsidP="00A51657">
      <w:pPr>
        <w:spacing w:after="200" w:line="360" w:lineRule="auto"/>
        <w:jc w:val="both"/>
        <w:rPr>
          <w:rFonts w:ascii="Tahoma" w:hAnsi="Tahoma" w:cs="Tahoma"/>
          <w:i/>
          <w:sz w:val="20"/>
          <w:szCs w:val="20"/>
        </w:rPr>
      </w:pPr>
    </w:p>
    <w:p w14:paraId="4D94A50D" w14:textId="77777777" w:rsidR="00B15171" w:rsidRDefault="00B15171" w:rsidP="00A51657">
      <w:pPr>
        <w:pStyle w:val="Titolo2"/>
        <w:spacing w:line="360" w:lineRule="auto"/>
        <w:rPr>
          <w:lang w:val="it-IT"/>
        </w:rPr>
      </w:pPr>
    </w:p>
    <w:p w14:paraId="2EAE7E7A" w14:textId="77777777" w:rsidR="009208F3" w:rsidRDefault="009208F3" w:rsidP="00A51657">
      <w:pPr>
        <w:pStyle w:val="Titolo2"/>
        <w:spacing w:line="360" w:lineRule="auto"/>
        <w:rPr>
          <w:lang w:val="it-IT"/>
        </w:rPr>
      </w:pPr>
    </w:p>
    <w:p w14:paraId="0F4D2BE4" w14:textId="77777777" w:rsidR="009208F3" w:rsidRDefault="009208F3" w:rsidP="00A51657">
      <w:pPr>
        <w:pStyle w:val="Titolo2"/>
        <w:spacing w:line="360" w:lineRule="auto"/>
        <w:rPr>
          <w:lang w:val="it-IT"/>
        </w:rPr>
      </w:pPr>
    </w:p>
    <w:p w14:paraId="3765A2B7" w14:textId="77777777" w:rsidR="009208F3" w:rsidRDefault="009208F3" w:rsidP="00A51657">
      <w:pPr>
        <w:pStyle w:val="Titolo2"/>
        <w:spacing w:line="360" w:lineRule="auto"/>
        <w:rPr>
          <w:lang w:val="it-IT"/>
        </w:rPr>
      </w:pPr>
    </w:p>
    <w:p w14:paraId="3AFD6D5A" w14:textId="77777777" w:rsidR="009208F3" w:rsidRDefault="009208F3" w:rsidP="00A51657">
      <w:pPr>
        <w:pStyle w:val="Titolo2"/>
        <w:spacing w:line="360" w:lineRule="auto"/>
        <w:rPr>
          <w:lang w:val="it-IT"/>
        </w:rPr>
      </w:pPr>
    </w:p>
    <w:p w14:paraId="420168CE" w14:textId="721FEB59" w:rsidR="0096062D" w:rsidRPr="00B15171" w:rsidRDefault="00B15171" w:rsidP="00B15171">
      <w:pPr>
        <w:pStyle w:val="Titolo2"/>
      </w:pPr>
      <w:bookmarkStart w:id="2" w:name="_Toc161309088"/>
      <w:r>
        <w:rPr>
          <w:lang w:val="it-IT"/>
        </w:rPr>
        <w:t>1</w:t>
      </w:r>
      <w:r w:rsidR="0096062D" w:rsidRPr="00B15171">
        <w:t>.1 La valutazione delle voci di bilancio nella prospettiva della continuazione dell’attività</w:t>
      </w:r>
      <w:bookmarkEnd w:id="2"/>
    </w:p>
    <w:p w14:paraId="69C89AB6" w14:textId="2898DB32" w:rsidR="00F702EA" w:rsidRPr="00B15171" w:rsidRDefault="00F702EA" w:rsidP="00B15171">
      <w:pPr>
        <w:spacing w:after="200" w:line="360" w:lineRule="auto"/>
        <w:jc w:val="both"/>
        <w:rPr>
          <w:rFonts w:ascii="Tahoma" w:hAnsi="Tahoma" w:cs="Tahoma"/>
          <w:i/>
          <w:sz w:val="20"/>
          <w:szCs w:val="20"/>
        </w:rPr>
      </w:pPr>
      <w:r w:rsidRPr="00B15171">
        <w:rPr>
          <w:rFonts w:ascii="Tahoma" w:hAnsi="Tahoma" w:cs="Tahoma"/>
          <w:sz w:val="20"/>
          <w:szCs w:val="20"/>
        </w:rPr>
        <w:t>L’art. 2423-bis, comma prima n. 1 del codice civile stabilisce quale primo principio di redazione del bilancio che “</w:t>
      </w:r>
      <w:r w:rsidRPr="00B15171">
        <w:rPr>
          <w:rFonts w:ascii="Tahoma" w:hAnsi="Tahoma" w:cs="Tahoma"/>
          <w:i/>
          <w:sz w:val="20"/>
          <w:szCs w:val="20"/>
        </w:rPr>
        <w:t xml:space="preserve">la valutazione delle voci deve essere fatta secondo prudenza e </w:t>
      </w:r>
      <w:r w:rsidRPr="00B15171">
        <w:rPr>
          <w:rFonts w:ascii="Tahoma" w:hAnsi="Tahoma" w:cs="Tahoma"/>
          <w:b/>
          <w:i/>
          <w:sz w:val="20"/>
          <w:szCs w:val="20"/>
        </w:rPr>
        <w:t>nella prospettiva della continuazione dell’attività</w:t>
      </w:r>
      <w:r w:rsidRPr="00B15171">
        <w:rPr>
          <w:rFonts w:ascii="Tahoma" w:hAnsi="Tahoma" w:cs="Tahoma"/>
          <w:i/>
          <w:sz w:val="20"/>
          <w:szCs w:val="20"/>
        </w:rPr>
        <w:t>”.</w:t>
      </w:r>
    </w:p>
    <w:p w14:paraId="4FE4218A"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Il principio della continuità aziendale è spiegato dal Principio contabile OIC 11, emesso a marzo 2018 dall’Organismo Italiano di Contabilità, nei punti da 21 a 24.</w:t>
      </w:r>
    </w:p>
    <w:p w14:paraId="7DE79AC6" w14:textId="77777777" w:rsidR="0096062D" w:rsidRPr="00B15171" w:rsidRDefault="003D137E" w:rsidP="00B15171">
      <w:pPr>
        <w:spacing w:after="200" w:line="360" w:lineRule="auto"/>
        <w:jc w:val="both"/>
        <w:rPr>
          <w:rFonts w:ascii="Tahoma" w:hAnsi="Tahoma" w:cs="Tahoma"/>
          <w:i/>
          <w:sz w:val="20"/>
          <w:szCs w:val="20"/>
        </w:rPr>
      </w:pPr>
      <w:r w:rsidRPr="00B15171">
        <w:rPr>
          <w:rFonts w:ascii="Tahoma" w:hAnsi="Tahoma" w:cs="Tahoma"/>
          <w:sz w:val="20"/>
          <w:szCs w:val="20"/>
        </w:rPr>
        <w:t>Innanzitutto, secondo l’OIC 11,</w:t>
      </w:r>
      <w:r w:rsidR="0096062D" w:rsidRPr="00B15171">
        <w:rPr>
          <w:rFonts w:ascii="Tahoma" w:hAnsi="Tahoma" w:cs="Tahoma"/>
          <w:sz w:val="20"/>
          <w:szCs w:val="20"/>
        </w:rPr>
        <w:t xml:space="preserve"> il bilancio va redatto “</w:t>
      </w:r>
      <w:r w:rsidR="0096062D" w:rsidRPr="00B15171">
        <w:rPr>
          <w:rFonts w:ascii="Tahoma" w:hAnsi="Tahoma" w:cs="Tahoma"/>
          <w:i/>
          <w:sz w:val="20"/>
          <w:szCs w:val="20"/>
        </w:rPr>
        <w:t>tenendo conto del fatto che l’azienda costituisce un complesso economico funzionante destinato alla produzione di reddito”.</w:t>
      </w:r>
    </w:p>
    <w:p w14:paraId="0A9927A4" w14:textId="62877F95"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Nel momento della redazione del bilancio, quindi, la direzione aziendale deve eseguire una valutazione prospettica della capacità dell’impresa di continuare ad operare come un’entità in funzionamento. Tale valutazione deve coprire un orizzonte temporale pari ad almeno 12 mesi dalla data di riferimento di bilancio.</w:t>
      </w:r>
    </w:p>
    <w:p w14:paraId="30926757"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Quindi</w:t>
      </w:r>
      <w:r w:rsidR="00167C0A" w:rsidRPr="00B15171">
        <w:rPr>
          <w:rFonts w:ascii="Tahoma" w:hAnsi="Tahoma" w:cs="Tahoma"/>
          <w:sz w:val="20"/>
          <w:szCs w:val="20"/>
        </w:rPr>
        <w:t>, ordinariamente</w:t>
      </w:r>
      <w:r w:rsidRPr="00B15171">
        <w:rPr>
          <w:rFonts w:ascii="Tahoma" w:hAnsi="Tahoma" w:cs="Tahoma"/>
          <w:sz w:val="20"/>
          <w:szCs w:val="20"/>
        </w:rPr>
        <w:t>:</w:t>
      </w:r>
    </w:p>
    <w:p w14:paraId="5C214980" w14:textId="440E50E0" w:rsidR="0096062D" w:rsidRPr="00B15171" w:rsidRDefault="0096062D" w:rsidP="00B15171">
      <w:pPr>
        <w:spacing w:after="200" w:line="360" w:lineRule="auto"/>
        <w:jc w:val="both"/>
        <w:rPr>
          <w:rFonts w:ascii="Tahoma" w:hAnsi="Tahoma" w:cs="Tahoma"/>
          <w:b/>
          <w:sz w:val="20"/>
          <w:szCs w:val="20"/>
        </w:rPr>
      </w:pPr>
      <w:r w:rsidRPr="00B15171">
        <w:rPr>
          <w:rFonts w:ascii="Tahoma" w:hAnsi="Tahoma" w:cs="Tahoma"/>
          <w:b/>
          <w:sz w:val="20"/>
          <w:szCs w:val="20"/>
        </w:rPr>
        <w:t>Bilancio chiuso al 31/12/202</w:t>
      </w:r>
      <w:r w:rsidR="00DF026C">
        <w:rPr>
          <w:rFonts w:ascii="Tahoma" w:hAnsi="Tahoma" w:cs="Tahoma"/>
          <w:b/>
          <w:sz w:val="20"/>
          <w:szCs w:val="20"/>
        </w:rPr>
        <w:t>3</w:t>
      </w:r>
      <w:r w:rsidRPr="00B15171">
        <w:rPr>
          <w:rFonts w:ascii="Tahoma" w:hAnsi="Tahoma" w:cs="Tahoma"/>
          <w:b/>
          <w:sz w:val="20"/>
          <w:szCs w:val="20"/>
        </w:rPr>
        <w:t xml:space="preserve"> </w:t>
      </w:r>
      <w:r w:rsidRPr="00B15171">
        <w:rPr>
          <w:rFonts w:ascii="Tahoma" w:hAnsi="Tahoma" w:cs="Tahoma"/>
          <w:b/>
          <w:sz w:val="20"/>
          <w:szCs w:val="20"/>
        </w:rPr>
        <w:sym w:font="Wingdings" w:char="F0E0"/>
      </w:r>
      <w:r w:rsidRPr="00B15171">
        <w:rPr>
          <w:rFonts w:ascii="Tahoma" w:hAnsi="Tahoma" w:cs="Tahoma"/>
          <w:b/>
          <w:sz w:val="20"/>
          <w:szCs w:val="20"/>
        </w:rPr>
        <w:t xml:space="preserve"> Valutazione prospettica della direzione fino al 31/12/202</w:t>
      </w:r>
      <w:r w:rsidR="00DF026C">
        <w:rPr>
          <w:rFonts w:ascii="Tahoma" w:hAnsi="Tahoma" w:cs="Tahoma"/>
          <w:b/>
          <w:sz w:val="20"/>
          <w:szCs w:val="20"/>
        </w:rPr>
        <w:t>4</w:t>
      </w:r>
    </w:p>
    <w:p w14:paraId="18B4801B" w14:textId="0D4953DD"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Nel bilancio al 31/12/202</w:t>
      </w:r>
      <w:r w:rsidR="00DF026C">
        <w:rPr>
          <w:rFonts w:ascii="Tahoma" w:hAnsi="Tahoma" w:cs="Tahoma"/>
          <w:sz w:val="20"/>
          <w:szCs w:val="20"/>
        </w:rPr>
        <w:t>3</w:t>
      </w:r>
      <w:r w:rsidRPr="00B15171">
        <w:rPr>
          <w:rFonts w:ascii="Tahoma" w:hAnsi="Tahoma" w:cs="Tahoma"/>
          <w:sz w:val="20"/>
          <w:szCs w:val="20"/>
        </w:rPr>
        <w:t>, secondo il principio di continuità, la direzione deve valutare che l’azienda abbia continuità aziendale fino ad almeno il 31/12/202</w:t>
      </w:r>
      <w:r w:rsidR="00DF026C">
        <w:rPr>
          <w:rFonts w:ascii="Tahoma" w:hAnsi="Tahoma" w:cs="Tahoma"/>
          <w:sz w:val="20"/>
          <w:szCs w:val="20"/>
        </w:rPr>
        <w:t>4</w:t>
      </w:r>
      <w:r w:rsidRPr="00B15171">
        <w:rPr>
          <w:rFonts w:ascii="Tahoma" w:hAnsi="Tahoma" w:cs="Tahoma"/>
          <w:sz w:val="20"/>
          <w:szCs w:val="20"/>
        </w:rPr>
        <w:t>.</w:t>
      </w:r>
    </w:p>
    <w:p w14:paraId="5FA34820" w14:textId="4A263B0E"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Quando </w:t>
      </w:r>
      <w:r w:rsidR="00167C0A" w:rsidRPr="00B15171">
        <w:rPr>
          <w:rFonts w:ascii="Tahoma" w:hAnsi="Tahoma" w:cs="Tahoma"/>
          <w:sz w:val="20"/>
          <w:szCs w:val="20"/>
        </w:rPr>
        <w:t>gli amministratori valut</w:t>
      </w:r>
      <w:r w:rsidR="007133CB" w:rsidRPr="00B15171">
        <w:rPr>
          <w:rFonts w:ascii="Tahoma" w:hAnsi="Tahoma" w:cs="Tahoma"/>
          <w:sz w:val="20"/>
          <w:szCs w:val="20"/>
        </w:rPr>
        <w:t>a</w:t>
      </w:r>
      <w:r w:rsidR="00167C0A" w:rsidRPr="00B15171">
        <w:rPr>
          <w:rFonts w:ascii="Tahoma" w:hAnsi="Tahoma" w:cs="Tahoma"/>
          <w:sz w:val="20"/>
          <w:szCs w:val="20"/>
        </w:rPr>
        <w:t xml:space="preserve">no </w:t>
      </w:r>
      <w:r w:rsidRPr="00B15171">
        <w:rPr>
          <w:rFonts w:ascii="Tahoma" w:hAnsi="Tahoma" w:cs="Tahoma"/>
          <w:sz w:val="20"/>
          <w:szCs w:val="20"/>
        </w:rPr>
        <w:t>che la continuità aziendale sussista per almeno 12 mesi dalla data di riferimento, il bilancio può essere redatto con criteri di continuità.</w:t>
      </w:r>
    </w:p>
    <w:p w14:paraId="1612D5EF" w14:textId="1C6E662C"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Quando </w:t>
      </w:r>
      <w:r w:rsidR="00167C0A" w:rsidRPr="00B15171">
        <w:rPr>
          <w:rFonts w:ascii="Tahoma" w:hAnsi="Tahoma" w:cs="Tahoma"/>
          <w:sz w:val="20"/>
          <w:szCs w:val="20"/>
        </w:rPr>
        <w:t>gli amministratori valut</w:t>
      </w:r>
      <w:r w:rsidR="007133CB" w:rsidRPr="00B15171">
        <w:rPr>
          <w:rFonts w:ascii="Tahoma" w:hAnsi="Tahoma" w:cs="Tahoma"/>
          <w:sz w:val="20"/>
          <w:szCs w:val="20"/>
        </w:rPr>
        <w:t>a</w:t>
      </w:r>
      <w:r w:rsidR="00167C0A" w:rsidRPr="00B15171">
        <w:rPr>
          <w:rFonts w:ascii="Tahoma" w:hAnsi="Tahoma" w:cs="Tahoma"/>
          <w:sz w:val="20"/>
          <w:szCs w:val="20"/>
        </w:rPr>
        <w:t xml:space="preserve">no </w:t>
      </w:r>
      <w:r w:rsidRPr="00B15171">
        <w:rPr>
          <w:rFonts w:ascii="Tahoma" w:hAnsi="Tahoma" w:cs="Tahoma"/>
          <w:sz w:val="20"/>
          <w:szCs w:val="20"/>
        </w:rPr>
        <w:t>che la continuità aziendale non sussista per almeno 12 mesi dalla data di riferimento, il bilancio deve essere redatto con criteri di liquidazione: sarà quindi applicabile il Principio contabile OIC 5, con tutte le peculiarità del caso.</w:t>
      </w:r>
    </w:p>
    <w:p w14:paraId="6BA5F149" w14:textId="673B06FC"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Il Principio </w:t>
      </w:r>
      <w:r w:rsidR="001A21EE" w:rsidRPr="00B15171">
        <w:rPr>
          <w:rFonts w:ascii="Tahoma" w:hAnsi="Tahoma" w:cs="Tahoma"/>
          <w:sz w:val="20"/>
          <w:szCs w:val="20"/>
        </w:rPr>
        <w:t xml:space="preserve">contabile </w:t>
      </w:r>
      <w:r w:rsidRPr="00B15171">
        <w:rPr>
          <w:rFonts w:ascii="Tahoma" w:hAnsi="Tahoma" w:cs="Tahoma"/>
          <w:sz w:val="20"/>
          <w:szCs w:val="20"/>
        </w:rPr>
        <w:t xml:space="preserve">OIC 11 </w:t>
      </w:r>
      <w:r w:rsidR="001A21EE" w:rsidRPr="00B15171">
        <w:rPr>
          <w:rFonts w:ascii="Tahoma" w:hAnsi="Tahoma" w:cs="Tahoma"/>
          <w:sz w:val="20"/>
          <w:szCs w:val="20"/>
        </w:rPr>
        <w:t xml:space="preserve">stabilisce </w:t>
      </w:r>
      <w:r w:rsidRPr="00B15171">
        <w:rPr>
          <w:rFonts w:ascii="Tahoma" w:hAnsi="Tahoma" w:cs="Tahoma"/>
          <w:sz w:val="20"/>
          <w:szCs w:val="20"/>
        </w:rPr>
        <w:t>che</w:t>
      </w:r>
      <w:r w:rsidR="001A21EE" w:rsidRPr="00B15171">
        <w:rPr>
          <w:rFonts w:ascii="Tahoma" w:hAnsi="Tahoma" w:cs="Tahoma"/>
          <w:sz w:val="20"/>
          <w:szCs w:val="20"/>
        </w:rPr>
        <w:t>,</w:t>
      </w:r>
      <w:r w:rsidRPr="00B15171">
        <w:rPr>
          <w:rFonts w:ascii="Tahoma" w:hAnsi="Tahoma" w:cs="Tahoma"/>
          <w:sz w:val="20"/>
          <w:szCs w:val="20"/>
        </w:rPr>
        <w:t xml:space="preserve"> qualora la direzione identifichi </w:t>
      </w:r>
      <w:r w:rsidRPr="00B15171">
        <w:rPr>
          <w:rFonts w:ascii="Tahoma" w:hAnsi="Tahoma" w:cs="Tahoma"/>
          <w:b/>
          <w:sz w:val="20"/>
          <w:szCs w:val="20"/>
        </w:rPr>
        <w:t>incertezze significative</w:t>
      </w:r>
      <w:r w:rsidRPr="00B15171">
        <w:rPr>
          <w:rFonts w:ascii="Tahoma" w:hAnsi="Tahoma" w:cs="Tahoma"/>
          <w:sz w:val="20"/>
          <w:szCs w:val="20"/>
        </w:rPr>
        <w:t xml:space="preserve"> in merito alla capacità di continuare ad operare come un’entità in funzionamento, in nota integrativa vanno indicati:</w:t>
      </w:r>
    </w:p>
    <w:p w14:paraId="582677F4" w14:textId="7AA2C9DD" w:rsidR="00167C0A"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 xml:space="preserve">le informazioni relative ai fattori di rischio; </w:t>
      </w:r>
    </w:p>
    <w:p w14:paraId="12A7C211" w14:textId="5C113D73" w:rsidR="001A21EE"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 xml:space="preserve">le assunzioni effettuate; </w:t>
      </w:r>
    </w:p>
    <w:p w14:paraId="56D49DFC" w14:textId="1907DE5B" w:rsidR="00167C0A"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 xml:space="preserve">le incertezze identificate; </w:t>
      </w:r>
    </w:p>
    <w:p w14:paraId="35BDBE4A" w14:textId="3A1675B4" w:rsidR="0096062D" w:rsidRPr="00B15171"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i piani aziendali futuri per far fronte ai rischi e alle incertezze</w:t>
      </w:r>
    </w:p>
    <w:p w14:paraId="082E3ABB" w14:textId="5E9FE203" w:rsidR="0096062D" w:rsidRPr="000A5632" w:rsidRDefault="0096062D">
      <w:pPr>
        <w:pStyle w:val="Paragrafoelenco"/>
        <w:numPr>
          <w:ilvl w:val="0"/>
          <w:numId w:val="10"/>
        </w:numPr>
        <w:spacing w:after="200" w:line="360" w:lineRule="auto"/>
        <w:jc w:val="both"/>
        <w:rPr>
          <w:rFonts w:ascii="Tahoma" w:hAnsi="Tahoma" w:cs="Tahoma"/>
          <w:sz w:val="20"/>
          <w:szCs w:val="20"/>
        </w:rPr>
      </w:pPr>
      <w:r w:rsidRPr="00B15171">
        <w:rPr>
          <w:rFonts w:ascii="Tahoma" w:hAnsi="Tahoma" w:cs="Tahoma"/>
          <w:sz w:val="20"/>
          <w:szCs w:val="20"/>
        </w:rPr>
        <w:t>le ragioni che qualificano come significative le incertezze esposte e le ricadute che esse possono avere sulla continuità aziendale</w:t>
      </w:r>
    </w:p>
    <w:tbl>
      <w:tblPr>
        <w:tblStyle w:val="Grigliatabella"/>
        <w:tblW w:w="0" w:type="auto"/>
        <w:tblLook w:val="04A0" w:firstRow="1" w:lastRow="0" w:firstColumn="1" w:lastColumn="0" w:noHBand="0" w:noVBand="1"/>
      </w:tblPr>
      <w:tblGrid>
        <w:gridCol w:w="9628"/>
      </w:tblGrid>
      <w:tr w:rsidR="00A51657" w14:paraId="4C075906" w14:textId="77777777" w:rsidTr="00A51657">
        <w:tc>
          <w:tcPr>
            <w:tcW w:w="9628" w:type="dxa"/>
          </w:tcPr>
          <w:p w14:paraId="2BE35A2E" w14:textId="300C57D5" w:rsidR="00A51657" w:rsidRDefault="00A51657" w:rsidP="00A51657">
            <w:pPr>
              <w:spacing w:before="60" w:after="60" w:line="326" w:lineRule="auto"/>
              <w:jc w:val="both"/>
              <w:rPr>
                <w:rFonts w:ascii="Tahoma" w:hAnsi="Tahoma" w:cs="Tahoma"/>
                <w:sz w:val="20"/>
                <w:szCs w:val="20"/>
              </w:rPr>
            </w:pPr>
            <w:r>
              <w:rPr>
                <w:rFonts w:ascii="Tahoma" w:hAnsi="Tahoma" w:cs="Tahoma"/>
                <w:sz w:val="20"/>
                <w:szCs w:val="20"/>
              </w:rPr>
              <w:t>Qu</w:t>
            </w:r>
            <w:r w:rsidRPr="00A51657">
              <w:rPr>
                <w:rFonts w:ascii="Tahoma" w:hAnsi="Tahoma" w:cs="Tahoma"/>
                <w:sz w:val="20"/>
                <w:szCs w:val="20"/>
              </w:rPr>
              <w:t>ando le incertezze possono definirsi significative?</w:t>
            </w:r>
          </w:p>
        </w:tc>
      </w:tr>
    </w:tbl>
    <w:p w14:paraId="5C4FD963" w14:textId="77777777" w:rsidR="00A51657" w:rsidRDefault="00A51657" w:rsidP="00B15171">
      <w:pPr>
        <w:spacing w:after="200" w:line="360" w:lineRule="auto"/>
        <w:jc w:val="both"/>
        <w:rPr>
          <w:rFonts w:ascii="Tahoma" w:hAnsi="Tahoma" w:cs="Tahoma"/>
          <w:sz w:val="20"/>
          <w:szCs w:val="20"/>
        </w:rPr>
      </w:pPr>
    </w:p>
    <w:p w14:paraId="36D8E8ED" w14:textId="1413F2A1" w:rsidR="0096062D" w:rsidRPr="00B15171" w:rsidRDefault="0096062D" w:rsidP="00B15171">
      <w:pPr>
        <w:spacing w:after="200" w:line="360" w:lineRule="auto"/>
        <w:jc w:val="both"/>
        <w:rPr>
          <w:rFonts w:ascii="Tahoma" w:hAnsi="Tahoma" w:cs="Tahoma"/>
          <w:i/>
          <w:sz w:val="20"/>
          <w:szCs w:val="20"/>
        </w:rPr>
      </w:pPr>
      <w:r w:rsidRPr="00B15171">
        <w:rPr>
          <w:rFonts w:ascii="Tahoma" w:hAnsi="Tahoma" w:cs="Tahoma"/>
          <w:sz w:val="20"/>
          <w:szCs w:val="20"/>
        </w:rPr>
        <w:t>La definizione di incertezza significativa può essere ritratta dal Principio di Revisione internazionale (ISA Italia) 570 che</w:t>
      </w:r>
      <w:r w:rsidR="001A21EE" w:rsidRPr="00B15171">
        <w:rPr>
          <w:rFonts w:ascii="Tahoma" w:hAnsi="Tahoma" w:cs="Tahoma"/>
          <w:sz w:val="20"/>
          <w:szCs w:val="20"/>
        </w:rPr>
        <w:t>,</w:t>
      </w:r>
      <w:r w:rsidRPr="00B15171">
        <w:rPr>
          <w:rFonts w:ascii="Tahoma" w:hAnsi="Tahoma" w:cs="Tahoma"/>
          <w:sz w:val="20"/>
          <w:szCs w:val="20"/>
        </w:rPr>
        <w:t xml:space="preserve"> al paragrafo 18</w:t>
      </w:r>
      <w:r w:rsidR="001A21EE" w:rsidRPr="00B15171">
        <w:rPr>
          <w:rFonts w:ascii="Tahoma" w:hAnsi="Tahoma" w:cs="Tahoma"/>
          <w:sz w:val="20"/>
          <w:szCs w:val="20"/>
        </w:rPr>
        <w:t>,</w:t>
      </w:r>
      <w:r w:rsidRPr="00B15171">
        <w:rPr>
          <w:rFonts w:ascii="Tahoma" w:hAnsi="Tahoma" w:cs="Tahoma"/>
          <w:sz w:val="20"/>
          <w:szCs w:val="20"/>
        </w:rPr>
        <w:t xml:space="preserve"> </w:t>
      </w:r>
      <w:r w:rsidR="001A21EE" w:rsidRPr="00B15171">
        <w:rPr>
          <w:rFonts w:ascii="Tahoma" w:hAnsi="Tahoma" w:cs="Tahoma"/>
          <w:sz w:val="20"/>
          <w:szCs w:val="20"/>
        </w:rPr>
        <w:t xml:space="preserve">stabilisce </w:t>
      </w:r>
      <w:r w:rsidRPr="00B15171">
        <w:rPr>
          <w:rFonts w:ascii="Tahoma" w:hAnsi="Tahoma" w:cs="Tahoma"/>
          <w:sz w:val="20"/>
          <w:szCs w:val="20"/>
        </w:rPr>
        <w:t>che “</w:t>
      </w:r>
      <w:r w:rsidRPr="00B15171">
        <w:rPr>
          <w:rFonts w:ascii="Tahoma" w:hAnsi="Tahoma" w:cs="Tahoma"/>
          <w:i/>
          <w:sz w:val="20"/>
          <w:szCs w:val="20"/>
        </w:rPr>
        <w:t>esiste un’incertezza significativa quando l’entità dell’impatto potenziale di eventi o circostanze e la probabilità che essi si verifichino è tale che, a giudizio del revisore, si rende necessaria un’informativa appropriata sulla natura e sulle implicazioni di tale incertezza al fine di … una corretta rappresentazione del bilancio, in presenza di un quadro normativo basato sulla corretta rappresentazione”.</w:t>
      </w:r>
    </w:p>
    <w:p w14:paraId="3A6CAEC7" w14:textId="52525D5B"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Gli amministratori devono quindi valutare l’impatto potenziale degli eventi e delle circostanze che potrebbero sollevare dubbi significativi sulla capacità dell’impresa di continuare ad operare come un’entità in funzionamento; a questa valutazione concernente l’impatto degli eventi e delle circostanze</w:t>
      </w:r>
      <w:r w:rsidR="007133CB" w:rsidRPr="00B15171">
        <w:rPr>
          <w:rFonts w:ascii="Tahoma" w:hAnsi="Tahoma" w:cs="Tahoma"/>
          <w:sz w:val="20"/>
          <w:szCs w:val="20"/>
        </w:rPr>
        <w:t>,</w:t>
      </w:r>
      <w:r w:rsidRPr="00B15171">
        <w:rPr>
          <w:rFonts w:ascii="Tahoma" w:hAnsi="Tahoma" w:cs="Tahoma"/>
          <w:sz w:val="20"/>
          <w:szCs w:val="20"/>
        </w:rPr>
        <w:t xml:space="preserve"> va accompagnata una verifica in ordine alla probabilità che gli eventi e circostanze si verifichino.</w:t>
      </w:r>
    </w:p>
    <w:p w14:paraId="3E29D569" w14:textId="7439EEA6"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 conseguenza della valutazione degli amministratori e, quindi, l’individuazione della significatività dell’incertezza</w:t>
      </w:r>
      <w:r w:rsidR="001A21EE" w:rsidRPr="00B15171">
        <w:rPr>
          <w:rFonts w:ascii="Tahoma" w:hAnsi="Tahoma" w:cs="Tahoma"/>
          <w:sz w:val="20"/>
          <w:szCs w:val="20"/>
        </w:rPr>
        <w:t>,</w:t>
      </w:r>
      <w:r w:rsidRPr="00B15171">
        <w:rPr>
          <w:rFonts w:ascii="Tahoma" w:hAnsi="Tahoma" w:cs="Tahoma"/>
          <w:sz w:val="20"/>
          <w:szCs w:val="20"/>
        </w:rPr>
        <w:t xml:space="preserve"> è la necessità che venga data </w:t>
      </w:r>
      <w:r w:rsidRPr="00B15171">
        <w:rPr>
          <w:rFonts w:ascii="Tahoma" w:hAnsi="Tahoma" w:cs="Tahoma"/>
          <w:sz w:val="20"/>
          <w:szCs w:val="20"/>
          <w:u w:val="single"/>
        </w:rPr>
        <w:t>una adeguata informativa</w:t>
      </w:r>
      <w:r w:rsidRPr="00B15171">
        <w:rPr>
          <w:rFonts w:ascii="Tahoma" w:hAnsi="Tahoma" w:cs="Tahoma"/>
          <w:sz w:val="20"/>
          <w:szCs w:val="20"/>
        </w:rPr>
        <w:t xml:space="preserve"> agli utilizzatori del bilancio.</w:t>
      </w:r>
    </w:p>
    <w:p w14:paraId="4DF17D0C" w14:textId="5EF230F8" w:rsidR="0096062D"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In definitiva c’è un collegamento diretto tra incertezza significativa e informativa appropriata:</w:t>
      </w:r>
    </w:p>
    <w:p w14:paraId="16FD149B" w14:textId="77777777" w:rsidR="00A51657" w:rsidRPr="00B15171" w:rsidRDefault="00A51657" w:rsidP="00B15171">
      <w:pPr>
        <w:spacing w:after="200" w:line="360" w:lineRule="auto"/>
        <w:jc w:val="both"/>
        <w:rPr>
          <w:rFonts w:ascii="Tahoma" w:hAnsi="Tahoma" w:cs="Tahoma"/>
          <w:sz w:val="20"/>
          <w:szCs w:val="20"/>
        </w:rPr>
      </w:pPr>
    </w:p>
    <w:p w14:paraId="4457150B" w14:textId="77777777" w:rsidR="0096062D" w:rsidRPr="00B15171" w:rsidRDefault="0096062D" w:rsidP="00B15171">
      <w:pPr>
        <w:spacing w:after="200" w:line="360" w:lineRule="auto"/>
        <w:jc w:val="center"/>
        <w:rPr>
          <w:rFonts w:ascii="Tahoma" w:hAnsi="Tahoma" w:cs="Tahoma"/>
          <w:sz w:val="20"/>
          <w:szCs w:val="20"/>
        </w:rPr>
      </w:pPr>
      <w:r w:rsidRPr="00B15171">
        <w:rPr>
          <w:rFonts w:ascii="Tahoma" w:hAnsi="Tahoma" w:cs="Tahoma"/>
          <w:sz w:val="20"/>
          <w:szCs w:val="20"/>
        </w:rPr>
        <w:t>INCERTEZZA SIGNIFICATIVA</w:t>
      </w:r>
    </w:p>
    <w:p w14:paraId="5BCF1F1C" w14:textId="77777777" w:rsidR="0096062D" w:rsidRPr="00B15171" w:rsidRDefault="0096062D" w:rsidP="00B15171">
      <w:pPr>
        <w:spacing w:after="200" w:line="360" w:lineRule="auto"/>
        <w:jc w:val="center"/>
        <w:rPr>
          <w:rFonts w:ascii="Tahoma" w:hAnsi="Tahoma" w:cs="Tahoma"/>
          <w:sz w:val="20"/>
          <w:szCs w:val="20"/>
        </w:rPr>
      </w:pPr>
      <w:r w:rsidRPr="00B15171">
        <w:rPr>
          <w:rFonts w:ascii="Tahoma" w:hAnsi="Tahoma" w:cs="Tahoma"/>
          <w:noProof/>
          <w:sz w:val="20"/>
          <w:szCs w:val="20"/>
        </w:rPr>
        <mc:AlternateContent>
          <mc:Choice Requires="wps">
            <w:drawing>
              <wp:anchor distT="0" distB="0" distL="114300" distR="114300" simplePos="0" relativeHeight="251659264" behindDoc="0" locked="0" layoutInCell="1" allowOverlap="1" wp14:anchorId="4697C3B2" wp14:editId="473B64C5">
                <wp:simplePos x="0" y="0"/>
                <wp:positionH relativeFrom="column">
                  <wp:posOffset>2823210</wp:posOffset>
                </wp:positionH>
                <wp:positionV relativeFrom="paragraph">
                  <wp:posOffset>10795</wp:posOffset>
                </wp:positionV>
                <wp:extent cx="484632" cy="542925"/>
                <wp:effectExtent l="19050" t="0" r="29845" b="47625"/>
                <wp:wrapNone/>
                <wp:docPr id="1" name="Freccia in giù 1"/>
                <wp:cNvGraphicFramePr/>
                <a:graphic xmlns:a="http://schemas.openxmlformats.org/drawingml/2006/main">
                  <a:graphicData uri="http://schemas.microsoft.com/office/word/2010/wordprocessingShape">
                    <wps:wsp>
                      <wps:cNvSpPr/>
                      <wps:spPr>
                        <a:xfrm>
                          <a:off x="0" y="0"/>
                          <a:ext cx="484632" cy="542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6404D6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1" o:spid="_x0000_s1026" type="#_x0000_t67" style="position:absolute;margin-left:222.3pt;margin-top:.85pt;width:38.15pt;height:4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" adj="11960" fillcolor="#5b9bd5 [3204]" strokecolor="#1f4d78 [1604]" strokeweight="1pt"/>
            </w:pict>
          </mc:Fallback>
        </mc:AlternateContent>
      </w:r>
    </w:p>
    <w:p w14:paraId="33E96664" w14:textId="77777777" w:rsidR="0096062D" w:rsidRPr="00B15171" w:rsidRDefault="0096062D" w:rsidP="00B15171">
      <w:pPr>
        <w:spacing w:after="200" w:line="360" w:lineRule="auto"/>
        <w:jc w:val="center"/>
        <w:rPr>
          <w:rFonts w:ascii="Tahoma" w:hAnsi="Tahoma" w:cs="Tahoma"/>
          <w:sz w:val="20"/>
          <w:szCs w:val="20"/>
        </w:rPr>
      </w:pPr>
    </w:p>
    <w:p w14:paraId="3F66DB1E" w14:textId="77777777" w:rsidR="0096062D" w:rsidRPr="00B15171" w:rsidRDefault="0096062D" w:rsidP="00B15171">
      <w:pPr>
        <w:spacing w:after="200" w:line="360" w:lineRule="auto"/>
        <w:jc w:val="center"/>
        <w:rPr>
          <w:rFonts w:ascii="Tahoma" w:hAnsi="Tahoma" w:cs="Tahoma"/>
          <w:sz w:val="20"/>
          <w:szCs w:val="20"/>
        </w:rPr>
      </w:pPr>
      <w:r w:rsidRPr="00B15171">
        <w:rPr>
          <w:rFonts w:ascii="Tahoma" w:hAnsi="Tahoma" w:cs="Tahoma"/>
          <w:sz w:val="20"/>
          <w:szCs w:val="20"/>
        </w:rPr>
        <w:t>ADEGUATA INFORMATIVA</w:t>
      </w:r>
    </w:p>
    <w:p w14:paraId="293C6DD1" w14:textId="77777777" w:rsidR="00312A65" w:rsidRDefault="00312A65">
      <w:pPr>
        <w:spacing w:after="160" w:line="259" w:lineRule="auto"/>
        <w:rPr>
          <w:rFonts w:ascii="Tahoma" w:hAnsi="Tahoma" w:cs="Tahoma"/>
          <w:color w:val="000000"/>
          <w:sz w:val="20"/>
          <w:szCs w:val="20"/>
        </w:rPr>
      </w:pPr>
      <w:r>
        <w:rPr>
          <w:rFonts w:ascii="Tahoma" w:hAnsi="Tahoma" w:cs="Tahoma"/>
          <w:color w:val="000000"/>
          <w:sz w:val="20"/>
          <w:szCs w:val="20"/>
        </w:rPr>
        <w:br w:type="page"/>
      </w:r>
    </w:p>
    <w:p w14:paraId="3FA75FBB" w14:textId="540043F8" w:rsidR="0096062D" w:rsidRPr="00B15171" w:rsidRDefault="0096062D" w:rsidP="00B15171">
      <w:pPr>
        <w:spacing w:after="200" w:line="360" w:lineRule="auto"/>
        <w:jc w:val="both"/>
        <w:rPr>
          <w:rFonts w:ascii="Tahoma" w:hAnsi="Tahoma" w:cs="Tahoma"/>
          <w:color w:val="000000"/>
          <w:sz w:val="20"/>
          <w:szCs w:val="20"/>
        </w:rPr>
      </w:pPr>
      <w:r w:rsidRPr="00B15171">
        <w:rPr>
          <w:rFonts w:ascii="Tahoma" w:hAnsi="Tahoma" w:cs="Tahoma"/>
          <w:color w:val="000000"/>
          <w:sz w:val="20"/>
          <w:szCs w:val="20"/>
        </w:rPr>
        <w:lastRenderedPageBreak/>
        <w:t>Quindi riepilogando, gli amministratori che redigono il bilancio devono operare nel seguente modo:</w:t>
      </w:r>
    </w:p>
    <w:p w14:paraId="131055BD"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Premessa: </w:t>
      </w:r>
    </w:p>
    <w:p w14:paraId="027C4F5D" w14:textId="2BF23DED"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Valutazione prospettica sulla capacità dell’impresa di continuare ad operare come un complesso funzionante destinato alla produzione di reddito</w:t>
      </w:r>
    </w:p>
    <w:p w14:paraId="75FD5642"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Orizzonte temporale: </w:t>
      </w:r>
    </w:p>
    <w:p w14:paraId="2D69D58F" w14:textId="3040405F"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12 mesi dalla data di riferimento del bilancio</w:t>
      </w:r>
    </w:p>
    <w:p w14:paraId="407416B9" w14:textId="073E7688" w:rsidR="00911F9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Conclusioni della valutazione prospettica:</w:t>
      </w:r>
    </w:p>
    <w:p w14:paraId="4098837C"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Ipotesi I</w:t>
      </w:r>
    </w:p>
    <w:p w14:paraId="2CDF6D16" w14:textId="6D855CA6"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Non esiste alcun dubbio in merito alla continuità aziendale </w:t>
      </w:r>
      <w:r w:rsidRPr="00B15171">
        <w:rPr>
          <w:rFonts w:ascii="Tahoma" w:hAnsi="Tahoma" w:cs="Tahoma"/>
          <w:i/>
          <w:color w:val="000000"/>
          <w:sz w:val="20"/>
          <w:szCs w:val="20"/>
        </w:rPr>
        <w:sym w:font="Wingdings" w:char="F0E0"/>
      </w:r>
      <w:r w:rsidRPr="00B15171">
        <w:rPr>
          <w:rFonts w:ascii="Tahoma" w:hAnsi="Tahoma" w:cs="Tahoma"/>
          <w:i/>
          <w:color w:val="000000"/>
          <w:sz w:val="20"/>
          <w:szCs w:val="20"/>
        </w:rPr>
        <w:t xml:space="preserve"> nessuna necessità di informativa sulla continuità</w:t>
      </w:r>
    </w:p>
    <w:p w14:paraId="1268BC23"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Ipotesi II</w:t>
      </w:r>
    </w:p>
    <w:p w14:paraId="26F9BF0D" w14:textId="0255F330"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Non esiste continuità aziendale </w:t>
      </w:r>
      <w:r w:rsidRPr="00B15171">
        <w:rPr>
          <w:rFonts w:ascii="Tahoma" w:hAnsi="Tahoma" w:cs="Tahoma"/>
          <w:i/>
          <w:color w:val="000000"/>
          <w:sz w:val="20"/>
          <w:szCs w:val="20"/>
        </w:rPr>
        <w:sym w:font="Wingdings" w:char="F0E0"/>
      </w:r>
      <w:r w:rsidRPr="00B15171">
        <w:rPr>
          <w:rFonts w:ascii="Tahoma" w:hAnsi="Tahoma" w:cs="Tahoma"/>
          <w:i/>
          <w:color w:val="000000"/>
          <w:sz w:val="20"/>
          <w:szCs w:val="20"/>
        </w:rPr>
        <w:t xml:space="preserve"> il bilancio non può essere redatto sul presupposto della continuità</w:t>
      </w:r>
      <w:r w:rsidR="007133CB" w:rsidRPr="00B15171">
        <w:rPr>
          <w:rFonts w:ascii="Tahoma" w:hAnsi="Tahoma" w:cs="Tahoma"/>
          <w:i/>
          <w:color w:val="000000"/>
          <w:sz w:val="20"/>
          <w:szCs w:val="20"/>
        </w:rPr>
        <w:t xml:space="preserve"> (e quindi OIC 5)</w:t>
      </w:r>
    </w:p>
    <w:p w14:paraId="56231676" w14:textId="77777777"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Ipotesi III </w:t>
      </w:r>
    </w:p>
    <w:p w14:paraId="6FDDA390" w14:textId="365F1942" w:rsidR="0096062D" w:rsidRPr="00B15171" w:rsidRDefault="0096062D" w:rsidP="00B15171">
      <w:pPr>
        <w:spacing w:after="200" w:line="360" w:lineRule="auto"/>
        <w:jc w:val="both"/>
        <w:rPr>
          <w:rFonts w:ascii="Tahoma" w:hAnsi="Tahoma" w:cs="Tahoma"/>
          <w:i/>
          <w:color w:val="000000"/>
          <w:sz w:val="20"/>
          <w:szCs w:val="20"/>
        </w:rPr>
      </w:pPr>
      <w:r w:rsidRPr="00B15171">
        <w:rPr>
          <w:rFonts w:ascii="Tahoma" w:hAnsi="Tahoma" w:cs="Tahoma"/>
          <w:i/>
          <w:color w:val="000000"/>
          <w:sz w:val="20"/>
          <w:szCs w:val="20"/>
        </w:rPr>
        <w:t xml:space="preserve">Esistono incertezze significative </w:t>
      </w:r>
      <w:r w:rsidRPr="00B15171">
        <w:rPr>
          <w:rFonts w:ascii="Tahoma" w:hAnsi="Tahoma" w:cs="Tahoma"/>
          <w:i/>
          <w:color w:val="000000"/>
          <w:sz w:val="20"/>
          <w:szCs w:val="20"/>
        </w:rPr>
        <w:sym w:font="Wingdings" w:char="F0E0"/>
      </w:r>
      <w:r w:rsidRPr="00B15171">
        <w:rPr>
          <w:rFonts w:ascii="Tahoma" w:hAnsi="Tahoma" w:cs="Tahoma"/>
          <w:i/>
          <w:color w:val="000000"/>
          <w:sz w:val="20"/>
          <w:szCs w:val="20"/>
        </w:rPr>
        <w:t xml:space="preserve"> il bilancio può essere redatto sul presupposto della continuità, ma </w:t>
      </w:r>
      <w:r w:rsidR="00911F9D" w:rsidRPr="00B15171">
        <w:rPr>
          <w:rFonts w:ascii="Tahoma" w:hAnsi="Tahoma" w:cs="Tahoma"/>
          <w:i/>
          <w:color w:val="000000"/>
          <w:sz w:val="20"/>
          <w:szCs w:val="20"/>
        </w:rPr>
        <w:t xml:space="preserve">è necessario </w:t>
      </w:r>
      <w:r w:rsidRPr="00B15171">
        <w:rPr>
          <w:rFonts w:ascii="Tahoma" w:hAnsi="Tahoma" w:cs="Tahoma"/>
          <w:i/>
          <w:color w:val="000000"/>
          <w:sz w:val="20"/>
          <w:szCs w:val="20"/>
        </w:rPr>
        <w:t>che venga data appropriata informativa in Nota Integrativa in merito a tali incertezze</w:t>
      </w:r>
    </w:p>
    <w:p w14:paraId="24D8B57D" w14:textId="77777777" w:rsidR="0096062D" w:rsidRPr="00B15171" w:rsidRDefault="0096062D" w:rsidP="00B15171">
      <w:pPr>
        <w:spacing w:after="200" w:line="360" w:lineRule="auto"/>
        <w:jc w:val="both"/>
        <w:rPr>
          <w:rFonts w:ascii="Tahoma" w:hAnsi="Tahoma" w:cs="Tahoma"/>
          <w:color w:val="000000"/>
          <w:sz w:val="20"/>
          <w:szCs w:val="20"/>
        </w:rPr>
      </w:pPr>
      <w:r w:rsidRPr="00B15171">
        <w:rPr>
          <w:rFonts w:ascii="Tahoma" w:hAnsi="Tahoma" w:cs="Tahoma"/>
          <w:color w:val="000000"/>
          <w:sz w:val="20"/>
          <w:szCs w:val="20"/>
        </w:rPr>
        <w:t>Quando esistono incertezze significative deve essere data informativa adeguata:</w:t>
      </w:r>
    </w:p>
    <w:p w14:paraId="28B73EB9"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sui fattori di rischio</w:t>
      </w:r>
    </w:p>
    <w:p w14:paraId="18EE0F88"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sulle assunzioni effettuate</w:t>
      </w:r>
    </w:p>
    <w:p w14:paraId="7FD6A374"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sulle incertezze identificate</w:t>
      </w:r>
    </w:p>
    <w:p w14:paraId="68498B2E"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sui piani aziendali futuri per far fronte ai rischi e alle incertezze</w:t>
      </w:r>
    </w:p>
    <w:p w14:paraId="686D4F3B" w14:textId="77777777" w:rsidR="0096062D" w:rsidRPr="00312A65" w:rsidRDefault="0096062D">
      <w:pPr>
        <w:pStyle w:val="Paragrafoelenco"/>
        <w:numPr>
          <w:ilvl w:val="0"/>
          <w:numId w:val="12"/>
        </w:numPr>
        <w:spacing w:after="200" w:line="360" w:lineRule="auto"/>
        <w:ind w:left="709"/>
        <w:jc w:val="both"/>
        <w:rPr>
          <w:rFonts w:ascii="Tahoma" w:hAnsi="Tahoma" w:cs="Tahoma"/>
          <w:color w:val="000000"/>
          <w:sz w:val="20"/>
          <w:szCs w:val="20"/>
        </w:rPr>
      </w:pPr>
      <w:r w:rsidRPr="00312A65">
        <w:rPr>
          <w:rFonts w:ascii="Tahoma" w:hAnsi="Tahoma" w:cs="Tahoma"/>
          <w:color w:val="000000"/>
          <w:sz w:val="20"/>
          <w:szCs w:val="20"/>
        </w:rPr>
        <w:t>sulle ragioni che qualificano come significative le incertezze esposte e sulle ricadute che possono avere sulla continuità aziendale</w:t>
      </w:r>
    </w:p>
    <w:p w14:paraId="1D2C5A34" w14:textId="539A81FF" w:rsidR="00A51657" w:rsidRPr="00B15171" w:rsidRDefault="007133CB" w:rsidP="00B15171">
      <w:pPr>
        <w:spacing w:after="200" w:line="360" w:lineRule="auto"/>
        <w:jc w:val="both"/>
        <w:rPr>
          <w:rFonts w:ascii="Tahoma" w:hAnsi="Tahoma" w:cs="Tahoma"/>
          <w:sz w:val="20"/>
          <w:szCs w:val="20"/>
        </w:rPr>
      </w:pPr>
      <w:r w:rsidRPr="00B15171">
        <w:rPr>
          <w:rFonts w:ascii="Tahoma" w:hAnsi="Tahoma" w:cs="Tahoma"/>
          <w:sz w:val="20"/>
          <w:szCs w:val="20"/>
        </w:rPr>
        <w:t>Un esempio di paragrafo in nota integrativa in merito alla continuità aziendale può essere il seguente:</w:t>
      </w:r>
    </w:p>
    <w:p w14:paraId="6DE2BF77" w14:textId="0C65037A" w:rsidR="00911F9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“Paragrafo - LA CONTINUITÀ AZIENDALE </w:t>
      </w:r>
    </w:p>
    <w:p w14:paraId="35564A63" w14:textId="50133855" w:rsidR="00911F9D" w:rsidRPr="00312A65"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Fattori di rischio</w:t>
      </w:r>
    </w:p>
    <w:p w14:paraId="4A709AB8"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sta partecipando in subappalto alla realizzazione di 240 appartamenti in Roma. In sede di realizzazione del Lotto A (80 appartamenti), il committente ha ritardato alcuni pagamenti e ha proceduto a pagamenti in natura mediante la cessione di 6 appartamenti nella palazzina A.2.</w:t>
      </w:r>
    </w:p>
    <w:p w14:paraId="5CEC6E1E"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Sussiste il rischio che la crisi finanziaria della committente comporti ulteriori rallentamenti nell’incasso dei crediti comportando l’ulteriore necessità di ricorso a capitale di credito con incremento degli oneri finanziari.</w:t>
      </w:r>
    </w:p>
    <w:p w14:paraId="7549569A"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società si è vista costretta a ritardare il pagamento delle ritenute di luglio ed agosto, poi pagate nel mese di novembre. Il rallentamento del mercato immobiliare sta creando difficoltà anche nelle cessioni degli appartamenti acquisiti in conto prezzo.</w:t>
      </w:r>
    </w:p>
    <w:p w14:paraId="366956DD" w14:textId="128F9DD4"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Sussiste quindi il rischio che le difficoltà finanziarie del committente possano acuirsi e creare ulteriori difficoltà, con un incrementarsi del rischio di liquidità.</w:t>
      </w:r>
    </w:p>
    <w:p w14:paraId="02363275"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Assunzioni effettuate</w:t>
      </w:r>
    </w:p>
    <w:p w14:paraId="743A61A2" w14:textId="3A2F0532"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Si sono tenut</w:t>
      </w:r>
      <w:r w:rsidR="00186E74" w:rsidRPr="00B15171">
        <w:rPr>
          <w:rFonts w:ascii="Tahoma" w:hAnsi="Tahoma" w:cs="Tahoma"/>
          <w:sz w:val="20"/>
          <w:szCs w:val="20"/>
        </w:rPr>
        <w:t>i</w:t>
      </w:r>
      <w:r w:rsidRPr="00B15171">
        <w:rPr>
          <w:rFonts w:ascii="Tahoma" w:hAnsi="Tahoma" w:cs="Tahoma"/>
          <w:sz w:val="20"/>
          <w:szCs w:val="20"/>
        </w:rPr>
        <w:t xml:space="preserve"> anche nel mese di gennaio e febbraio incontri con la committente per esaminare lo stato di avanzamento dei lavori ed il rispetto del cronoprogramma. Questo è sostanzialmente rispettato, nonostante le richiamate difficoltà e quindi si ritiene che entro diciotto mesi dalla data di riferimento del bilancio l’intero complesso sarà completato.</w:t>
      </w:r>
    </w:p>
    <w:p w14:paraId="364A075E" w14:textId="2AA67CEC" w:rsidR="0096062D"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Pr>
          <w:rFonts w:ascii="Tahoma" w:hAnsi="Tahoma" w:cs="Tahoma"/>
          <w:sz w:val="20"/>
          <w:szCs w:val="20"/>
        </w:rPr>
        <w:t>È</w:t>
      </w:r>
      <w:r w:rsidR="0096062D" w:rsidRPr="00B15171">
        <w:rPr>
          <w:rFonts w:ascii="Tahoma" w:hAnsi="Tahoma" w:cs="Tahoma"/>
          <w:sz w:val="20"/>
          <w:szCs w:val="20"/>
        </w:rPr>
        <w:t xml:space="preserve"> quindi possibile prevedere con ragionevole sicurezza gli impegni che la società sarà chiamata a sostenere per completare il programma e gli importi che dovrà essere necessario reperire in caso di ulteriori ritardi nei pagamenti da parte della committente.</w:t>
      </w:r>
    </w:p>
    <w:p w14:paraId="51097DFC"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sz w:val="20"/>
          <w:szCs w:val="20"/>
        </w:rPr>
        <w:t>Incertezze identificate</w:t>
      </w:r>
    </w:p>
    <w:p w14:paraId="74330868"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situazione descritta nel Paragrafo “</w:t>
      </w:r>
      <w:r w:rsidRPr="00B15171">
        <w:rPr>
          <w:rFonts w:ascii="Tahoma" w:hAnsi="Tahoma" w:cs="Tahoma"/>
          <w:i/>
          <w:iCs/>
          <w:sz w:val="20"/>
          <w:szCs w:val="20"/>
        </w:rPr>
        <w:t>Fattori di rischio</w:t>
      </w:r>
      <w:r w:rsidRPr="00B15171">
        <w:rPr>
          <w:rFonts w:ascii="Tahoma" w:hAnsi="Tahoma" w:cs="Tahoma"/>
          <w:sz w:val="20"/>
          <w:szCs w:val="20"/>
        </w:rPr>
        <w:t>” solleva dubbi significativi sulla capacità dell’impresa di continuare ad operare come un’entità in funzionamento. Ciò in quanto eventuali ulteriori ritardi nei pagamenti, superiori a 120-150 giorni, porterebbero evidenti difficoltà nei pagamenti ai fornitori e delle spettanze ai dipendenti. Vi sono i primi segnali di difficoltà nei rapporti con gli istituti bancari, soprattutto la Banca …, che è il soggetto finanziatore del committente e che quindi è maggiormente esposta in relazione al progetto.</w:t>
      </w:r>
    </w:p>
    <w:p w14:paraId="11E5D2BB" w14:textId="1A4316B2"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La difficoltà nella cessione degli appartamenti dati in pagamento comporta una ulteriore carenza di liquidità, con il rischio che il loro valore, per effetto di un eventuale peggioramento della crisi immobiliare, possa anche ridursi. Il capitale immobilizzato rende anche più difficile l’attività di pagamento negli altri cantieri aperti, anche se per ora, anche se con piccoli ritardi, sostanzialmente sono state rispettate tutte le scadenze.</w:t>
      </w:r>
    </w:p>
    <w:p w14:paraId="38D208E1"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color w:val="000000"/>
          <w:sz w:val="20"/>
          <w:szCs w:val="20"/>
        </w:rPr>
        <w:t>Piani aziendali futuri per far fronte ai rischi e alle incertezze</w:t>
      </w:r>
    </w:p>
    <w:p w14:paraId="6CAB7B60"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Nella riunione di consiglio di amministrazione del 14 febbraio ultimo scorso, è stato approvato un piano di ristrutturazione e rilancio che si basa su alcuni step:</w:t>
      </w:r>
    </w:p>
    <w:p w14:paraId="09A8F156"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1. conferimento di mandato di agenzia ad un operatore specializzato che ha particolare conoscenza del mercato locale. Nel primo mese di mandato le visite agli immobili</w:t>
      </w:r>
      <w:r w:rsidR="005D1F68" w:rsidRPr="00B15171">
        <w:rPr>
          <w:rFonts w:ascii="Tahoma" w:hAnsi="Tahoma" w:cs="Tahoma"/>
          <w:sz w:val="20"/>
          <w:szCs w:val="20"/>
        </w:rPr>
        <w:t xml:space="preserve"> sono incrementate del 50% e </w:t>
      </w:r>
      <w:r w:rsidRPr="00B15171">
        <w:rPr>
          <w:rFonts w:ascii="Tahoma" w:hAnsi="Tahoma" w:cs="Tahoma"/>
          <w:sz w:val="20"/>
          <w:szCs w:val="20"/>
        </w:rPr>
        <w:t xml:space="preserve">i primi preliminari, anche se </w:t>
      </w:r>
      <w:r w:rsidR="005D1F68" w:rsidRPr="00B15171">
        <w:rPr>
          <w:rFonts w:ascii="Tahoma" w:hAnsi="Tahoma" w:cs="Tahoma"/>
          <w:sz w:val="20"/>
          <w:szCs w:val="20"/>
        </w:rPr>
        <w:t xml:space="preserve">ad </w:t>
      </w:r>
      <w:r w:rsidRPr="00B15171">
        <w:rPr>
          <w:rFonts w:ascii="Tahoma" w:hAnsi="Tahoma" w:cs="Tahoma"/>
          <w:sz w:val="20"/>
          <w:szCs w:val="20"/>
        </w:rPr>
        <w:t>un prezzo lievemente inferiore rispetto a quello da budget, saranno ragionevolmente sottoscritti nel periodo immediatamente successivo all’approvazione del bilancio</w:t>
      </w:r>
    </w:p>
    <w:p w14:paraId="313F339B"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lastRenderedPageBreak/>
        <w:t>2. accordo con la Banca … per la moratoria del rimborso di due delle quattro quote capitale dell’anno 202* e dell’anno seguente, con un beneficio in termini finanziari di circa Euro 250.000, fatta salva, ovviamente, la circostanza che in caso di cessione, i mutui saranno oggetto di accollo da parte dei cessionari</w:t>
      </w:r>
    </w:p>
    <w:p w14:paraId="60AB8019"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3. costituzione di una centrale di acquisti unitaria con gli altri subappaltatori, con una prevedibile riduzione del 10% circa del costo dei materiali</w:t>
      </w:r>
    </w:p>
    <w:p w14:paraId="2E5E212A"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4. ricorso alla cassa integrazione per il settore progettazione, in vista di una più che probabile esternalizzazione del servizio</w:t>
      </w:r>
    </w:p>
    <w:p w14:paraId="6C2B192E"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5. eliminazione per l’anno in corso del sistema premiale degli amministratori e dei dirigenti</w:t>
      </w:r>
    </w:p>
    <w:p w14:paraId="4C71DA25"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6. acquisizione di nuove commesse principalmente nel settore delle ristrutturazioni edilizie, con progressiva riduzione dell’attività di costruzione in subappalto o comunque di abitazioni nuove</w:t>
      </w:r>
    </w:p>
    <w:p w14:paraId="46CA8E97" w14:textId="492EFA29"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7. costituzione insieme ad altri operatori del settore di un consorzio per l’attività di realizzazione integrata di progetti nell’ambito </w:t>
      </w:r>
      <w:r w:rsidR="00DF026C">
        <w:rPr>
          <w:rFonts w:ascii="Tahoma" w:hAnsi="Tahoma" w:cs="Tahoma"/>
          <w:sz w:val="20"/>
          <w:szCs w:val="20"/>
        </w:rPr>
        <w:t xml:space="preserve">delle </w:t>
      </w:r>
      <w:r w:rsidRPr="00B15171">
        <w:rPr>
          <w:rFonts w:ascii="Tahoma" w:hAnsi="Tahoma" w:cs="Tahoma"/>
          <w:sz w:val="20"/>
          <w:szCs w:val="20"/>
        </w:rPr>
        <w:t xml:space="preserve"> ristrutturazioni </w:t>
      </w:r>
    </w:p>
    <w:p w14:paraId="4B658116" w14:textId="0E4DB3E9"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Si prevede quindi che l’esercizio in corso si chiuda con un lieve utile in grado di equilibrare la perdita del presente esercizio e che tale utile possa essere confermato anche nell’esercizio successivo.</w:t>
      </w:r>
    </w:p>
    <w:p w14:paraId="1016187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i/>
          <w:sz w:val="20"/>
          <w:szCs w:val="20"/>
        </w:rPr>
      </w:pPr>
      <w:r w:rsidRPr="00B15171">
        <w:rPr>
          <w:rFonts w:ascii="Tahoma" w:hAnsi="Tahoma" w:cs="Tahoma"/>
          <w:i/>
          <w:color w:val="000000"/>
          <w:sz w:val="20"/>
          <w:szCs w:val="20"/>
        </w:rPr>
        <w:t>Ragioni che qualificano come significative le incertezze esposte e sulle ricadute che possono avere sulla continuità aziendale</w:t>
      </w:r>
    </w:p>
    <w:p w14:paraId="3AB631AD" w14:textId="77777777" w:rsidR="0096062D" w:rsidRPr="00B15171" w:rsidRDefault="0096062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Le incertezze segnalate sono tali da mettere a rischio, anche se non immediato, la continuità aziendale. Il piano approvato dal consiglio di amministrazione può quindi riuscire a equilibrare la situazione, ma il mancato raggiungimento dell’accordo per la moratoria potrebbe avere un pesante effetto sotto il profilo dell’equilibrio finanziario e portare ad una difficoltà nei pagamenti con ricadute sull’operatività dell’azienda.</w:t>
      </w:r>
    </w:p>
    <w:p w14:paraId="63873C5C" w14:textId="4FAF48FB" w:rsidR="00911F9D" w:rsidRPr="00B15171" w:rsidRDefault="00B1517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Pr>
          <w:rFonts w:ascii="Tahoma" w:hAnsi="Tahoma" w:cs="Tahoma"/>
          <w:sz w:val="20"/>
          <w:szCs w:val="20"/>
        </w:rPr>
        <w:t>È</w:t>
      </w:r>
      <w:r w:rsidR="0096062D" w:rsidRPr="00B15171">
        <w:rPr>
          <w:rFonts w:ascii="Tahoma" w:hAnsi="Tahoma" w:cs="Tahoma"/>
          <w:sz w:val="20"/>
          <w:szCs w:val="20"/>
        </w:rPr>
        <w:t xml:space="preserve"> quindi ragionevole prevedere che la continuità sussista almeno oltre 12 mesi dalla data di riferimento del bilancio. </w:t>
      </w:r>
      <w:r>
        <w:rPr>
          <w:rFonts w:ascii="Tahoma" w:hAnsi="Tahoma" w:cs="Tahoma"/>
          <w:sz w:val="20"/>
          <w:szCs w:val="20"/>
        </w:rPr>
        <w:t>È</w:t>
      </w:r>
      <w:r w:rsidR="0096062D" w:rsidRPr="00B15171">
        <w:rPr>
          <w:rFonts w:ascii="Tahoma" w:hAnsi="Tahoma" w:cs="Tahoma"/>
          <w:sz w:val="20"/>
          <w:szCs w:val="20"/>
        </w:rPr>
        <w:t xml:space="preserve"> comunque già prevista una verifica del piano di ristrutturazione e rilancio nel mese di giugno per eventuali aggiustamenti.</w:t>
      </w:r>
    </w:p>
    <w:p w14:paraId="5623734E" w14:textId="77777777" w:rsidR="0096062D" w:rsidRPr="00B15171" w:rsidRDefault="0096062D" w:rsidP="00B15171">
      <w:pPr>
        <w:spacing w:after="200" w:line="360" w:lineRule="auto"/>
        <w:jc w:val="both"/>
        <w:rPr>
          <w:rFonts w:ascii="Tahoma" w:hAnsi="Tahoma" w:cs="Tahoma"/>
          <w:sz w:val="20"/>
          <w:szCs w:val="20"/>
        </w:rPr>
      </w:pPr>
    </w:p>
    <w:p w14:paraId="290B6808"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C’è da sottolineare come l’OIC 11 preveda, nel paragrafo 23, anche il caso in cui la valutazione prospettica operata dagli amministratori si concluda nel senso che, pur non essendovi ragionevoli alternative alla cessazione dell’attività, non sia stata ancora accertata nessuna delle cause di scioglimento della società di cui all’art. 2484 c.c.</w:t>
      </w:r>
      <w:r w:rsidRPr="00B15171">
        <w:rPr>
          <w:rStyle w:val="Rimandonotaapidipagina"/>
          <w:rFonts w:ascii="Tahoma" w:hAnsi="Tahoma" w:cs="Tahoma"/>
          <w:sz w:val="20"/>
          <w:szCs w:val="20"/>
        </w:rPr>
        <w:footnoteReference w:id="1"/>
      </w:r>
      <w:r w:rsidRPr="00B15171">
        <w:rPr>
          <w:rFonts w:ascii="Tahoma" w:hAnsi="Tahoma" w:cs="Tahoma"/>
          <w:sz w:val="20"/>
          <w:szCs w:val="20"/>
        </w:rPr>
        <w:t>.</w:t>
      </w:r>
    </w:p>
    <w:p w14:paraId="35A2B593"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tale caso l’OIC 11 raccomanda di calibrare alcune voci di bilancio in diretta corrispondenza alla minore durata dell’orizzonte temporale di riferimento.</w:t>
      </w:r>
    </w:p>
    <w:p w14:paraId="3E1CAADC"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Vi sarà quindi un evidente effetto, tra l’altro, su:</w:t>
      </w:r>
    </w:p>
    <w:p w14:paraId="6CD38752" w14:textId="77777777" w:rsidR="0096062D" w:rsidRPr="00B15171" w:rsidRDefault="0096062D">
      <w:pPr>
        <w:pStyle w:val="Paragrafoelenco"/>
        <w:numPr>
          <w:ilvl w:val="0"/>
          <w:numId w:val="1"/>
        </w:numPr>
        <w:spacing w:after="200" w:line="360" w:lineRule="auto"/>
        <w:ind w:left="714" w:hanging="357"/>
        <w:jc w:val="both"/>
        <w:rPr>
          <w:rFonts w:ascii="Tahoma" w:hAnsi="Tahoma" w:cs="Tahoma"/>
          <w:sz w:val="20"/>
          <w:szCs w:val="20"/>
        </w:rPr>
      </w:pPr>
      <w:r w:rsidRPr="00B15171">
        <w:rPr>
          <w:rFonts w:ascii="Tahoma" w:hAnsi="Tahoma" w:cs="Tahoma"/>
          <w:sz w:val="20"/>
          <w:szCs w:val="20"/>
        </w:rPr>
        <w:t>revisione della vita utile delle immobilizzazioni immateriali e materiali</w:t>
      </w:r>
      <w:r w:rsidR="00911F9D" w:rsidRPr="00B15171">
        <w:rPr>
          <w:rFonts w:ascii="Tahoma" w:hAnsi="Tahoma" w:cs="Tahoma"/>
          <w:sz w:val="20"/>
          <w:szCs w:val="20"/>
        </w:rPr>
        <w:t>;</w:t>
      </w:r>
    </w:p>
    <w:p w14:paraId="09FB46FC" w14:textId="77777777" w:rsidR="0096062D" w:rsidRPr="00B15171" w:rsidRDefault="0096062D">
      <w:pPr>
        <w:pStyle w:val="Paragrafoelenco"/>
        <w:numPr>
          <w:ilvl w:val="0"/>
          <w:numId w:val="1"/>
        </w:numPr>
        <w:spacing w:after="200" w:line="360" w:lineRule="auto"/>
        <w:ind w:left="714" w:hanging="357"/>
        <w:jc w:val="both"/>
        <w:rPr>
          <w:rFonts w:ascii="Tahoma" w:hAnsi="Tahoma" w:cs="Tahoma"/>
          <w:sz w:val="20"/>
          <w:szCs w:val="20"/>
        </w:rPr>
      </w:pPr>
      <w:r w:rsidRPr="00B15171">
        <w:rPr>
          <w:rFonts w:ascii="Tahoma" w:hAnsi="Tahoma" w:cs="Tahoma"/>
          <w:sz w:val="20"/>
          <w:szCs w:val="20"/>
        </w:rPr>
        <w:t>stima del valore d’uso delle immobilizzazioni al fine della individuazione della svalutazione delle immobilizzazioni materiali per perdite di durevoli di valore</w:t>
      </w:r>
      <w:r w:rsidR="00911F9D" w:rsidRPr="00B15171">
        <w:rPr>
          <w:rFonts w:ascii="Tahoma" w:hAnsi="Tahoma" w:cs="Tahoma"/>
          <w:sz w:val="20"/>
          <w:szCs w:val="20"/>
        </w:rPr>
        <w:t>;</w:t>
      </w:r>
    </w:p>
    <w:p w14:paraId="07DEDE22" w14:textId="5B75C129" w:rsidR="0096062D" w:rsidRPr="00B15171" w:rsidRDefault="0096062D">
      <w:pPr>
        <w:pStyle w:val="Paragrafoelenco"/>
        <w:numPr>
          <w:ilvl w:val="0"/>
          <w:numId w:val="1"/>
        </w:numPr>
        <w:spacing w:after="200" w:line="360" w:lineRule="auto"/>
        <w:contextualSpacing w:val="0"/>
        <w:jc w:val="both"/>
        <w:rPr>
          <w:rFonts w:ascii="Tahoma" w:hAnsi="Tahoma" w:cs="Tahoma"/>
          <w:sz w:val="20"/>
          <w:szCs w:val="20"/>
        </w:rPr>
      </w:pPr>
      <w:r w:rsidRPr="00B15171">
        <w:rPr>
          <w:rFonts w:ascii="Tahoma" w:hAnsi="Tahoma" w:cs="Tahoma"/>
          <w:sz w:val="20"/>
          <w:szCs w:val="20"/>
        </w:rPr>
        <w:t>recuperabilità delle imposte anticipate; ad esempio</w:t>
      </w:r>
      <w:r w:rsidR="006B5B06" w:rsidRPr="00B15171">
        <w:rPr>
          <w:rFonts w:ascii="Tahoma" w:hAnsi="Tahoma" w:cs="Tahoma"/>
          <w:sz w:val="20"/>
          <w:szCs w:val="20"/>
        </w:rPr>
        <w:t>,</w:t>
      </w:r>
      <w:r w:rsidRPr="00B15171">
        <w:rPr>
          <w:rFonts w:ascii="Tahoma" w:hAnsi="Tahoma" w:cs="Tahoma"/>
          <w:sz w:val="20"/>
          <w:szCs w:val="20"/>
        </w:rPr>
        <w:t xml:space="preserve"> se la società ha iscritto crediti per imposte anticipate in connessione della sussistenza di perdite pregresse riportabili negli esercizi successivi a scomputo parziale degli imponibili, il limitato orizzonte temporale potrebbe rendere realizzabile un importo minore se non nullo del beneficio delle perdite pregresse</w:t>
      </w:r>
      <w:r w:rsidR="006B5B06" w:rsidRPr="00B15171">
        <w:rPr>
          <w:rFonts w:ascii="Tahoma" w:hAnsi="Tahoma" w:cs="Tahoma"/>
          <w:sz w:val="20"/>
          <w:szCs w:val="20"/>
        </w:rPr>
        <w:t>,</w:t>
      </w:r>
      <w:r w:rsidRPr="00B15171">
        <w:rPr>
          <w:rFonts w:ascii="Tahoma" w:hAnsi="Tahoma" w:cs="Tahoma"/>
          <w:sz w:val="20"/>
          <w:szCs w:val="20"/>
        </w:rPr>
        <w:t xml:space="preserve"> per la riduzione o l’annullamento del prevedibile imponibile fiscale degli esercizi successivi</w:t>
      </w:r>
    </w:p>
    <w:p w14:paraId="0BFC74C1"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A concludere la disamina dei possibili scenari, il paragrafo 24 del Principio OIC 11 evidenzia che se una causa di scioglimento di cui all’art. 2484 c.c. sia stata accertata dagli amministratori, il bilancio va redatto tenuto conto di un orizzonte temporale ancora più ridotto rispetto all’ipotesi in cui la causa di scioglimento non sia stata ancora accertata.</w:t>
      </w:r>
    </w:p>
    <w:p w14:paraId="6F17BEA4"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Tale comportamento va tenuto anche nel caso in cui la causa di scioglimento venga accertata nel periodo intercorrente tra la data di riferimento e la data di redazione del bilancio.</w:t>
      </w:r>
    </w:p>
    <w:p w14:paraId="7CF9920F" w14:textId="77777777" w:rsidR="0096062D" w:rsidRPr="00B15171" w:rsidRDefault="0096062D" w:rsidP="00B15171">
      <w:pPr>
        <w:spacing w:after="200" w:line="360" w:lineRule="auto"/>
        <w:jc w:val="both"/>
        <w:rPr>
          <w:rFonts w:ascii="Tahoma" w:hAnsi="Tahoma" w:cs="Tahoma"/>
          <w:sz w:val="20"/>
          <w:szCs w:val="20"/>
        </w:rPr>
      </w:pPr>
    </w:p>
    <w:p w14:paraId="023A583F" w14:textId="536AD7D4" w:rsidR="0096062D" w:rsidRPr="00312A65" w:rsidRDefault="00312A65" w:rsidP="00312A65">
      <w:pPr>
        <w:pStyle w:val="Titolo2"/>
      </w:pPr>
      <w:bookmarkStart w:id="3" w:name="_Toc161309089"/>
      <w:r>
        <w:t>1</w:t>
      </w:r>
      <w:r w:rsidR="0096062D" w:rsidRPr="00B15171">
        <w:t>.2 I controlli del collegio sindacale sulla continuità aziendale</w:t>
      </w:r>
      <w:bookmarkEnd w:id="3"/>
    </w:p>
    <w:p w14:paraId="1358177F"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Nell’ambito dei controlli di legalità previsti dall’art. 2403 c.c., vi sono anche i controlli che il collegio sindacale deve espletare in materia di continuità aziendale.</w:t>
      </w:r>
    </w:p>
    <w:p w14:paraId="358A15DE"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Se i riflessi della continuità aziendale in materia di bilancio sono soggetti alla valutazione da parte dell’organo di revisione, il collegio sindacale ha comunque una attività di vigilanza, diretta innanzitutto alla tutela del patrimonio sociale, garanzia per i soci e per i terzi della sopravvivenza della società.</w:t>
      </w:r>
    </w:p>
    <w:p w14:paraId="0D75AF02" w14:textId="4937C37E"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 vigilanza che il collegio deve prestare trae origine dal disposto dello stesso articolo 2403 c.c.</w:t>
      </w:r>
      <w:r w:rsidR="007133CB" w:rsidRPr="00B15171">
        <w:rPr>
          <w:rFonts w:ascii="Tahoma" w:hAnsi="Tahoma" w:cs="Tahoma"/>
          <w:sz w:val="20"/>
          <w:szCs w:val="20"/>
        </w:rPr>
        <w:t>,</w:t>
      </w:r>
      <w:r w:rsidRPr="00B15171">
        <w:rPr>
          <w:rFonts w:ascii="Tahoma" w:hAnsi="Tahoma" w:cs="Tahoma"/>
          <w:sz w:val="20"/>
          <w:szCs w:val="20"/>
        </w:rPr>
        <w:t xml:space="preserve"> laddove prevede che esso vigili “</w:t>
      </w:r>
      <w:r w:rsidRPr="00B15171">
        <w:rPr>
          <w:rFonts w:ascii="Tahoma" w:hAnsi="Tahoma" w:cs="Tahoma"/>
          <w:i/>
          <w:sz w:val="20"/>
          <w:szCs w:val="20"/>
        </w:rPr>
        <w:t>sull’adeguatezza dell’assetto organizzativo, amministrativo e contabile e sul suo concreto funzionamento</w:t>
      </w:r>
      <w:r w:rsidRPr="00B15171">
        <w:rPr>
          <w:rFonts w:ascii="Tahoma" w:hAnsi="Tahoma" w:cs="Tahoma"/>
          <w:sz w:val="20"/>
          <w:szCs w:val="20"/>
        </w:rPr>
        <w:t>”.</w:t>
      </w:r>
    </w:p>
    <w:p w14:paraId="76C78C88" w14:textId="7B9A3634"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Il collegamento immediato, per legge, tra assetto organizzativo, amministrativo e contabile, e crisi d’impresa, è stato introdotto nel codice civile dal Codice della Crisi di Impresa e dell’Insolvenza (CCII) che ha </w:t>
      </w:r>
      <w:r w:rsidR="007133CB" w:rsidRPr="00B15171">
        <w:rPr>
          <w:rFonts w:ascii="Tahoma" w:hAnsi="Tahoma" w:cs="Tahoma"/>
          <w:sz w:val="20"/>
          <w:szCs w:val="20"/>
        </w:rPr>
        <w:t>introdotto</w:t>
      </w:r>
      <w:r w:rsidRPr="00B15171">
        <w:rPr>
          <w:rFonts w:ascii="Tahoma" w:hAnsi="Tahoma" w:cs="Tahoma"/>
          <w:sz w:val="20"/>
          <w:szCs w:val="20"/>
        </w:rPr>
        <w:t xml:space="preserve"> un secondo comma all’art. 2086 c.c..</w:t>
      </w:r>
    </w:p>
    <w:p w14:paraId="60672F12" w14:textId="77777777" w:rsidR="0096062D" w:rsidRPr="00B15171" w:rsidRDefault="0096062D" w:rsidP="00B15171">
      <w:pPr>
        <w:spacing w:after="200" w:line="360" w:lineRule="auto"/>
        <w:jc w:val="both"/>
        <w:rPr>
          <w:rFonts w:ascii="Tahoma" w:hAnsi="Tahoma" w:cs="Tahoma"/>
          <w:color w:val="000000"/>
          <w:sz w:val="20"/>
          <w:szCs w:val="20"/>
          <w:u w:val="single"/>
          <w:shd w:val="clear" w:color="auto" w:fill="FFFFFF"/>
        </w:rPr>
      </w:pPr>
      <w:r w:rsidRPr="00B15171">
        <w:rPr>
          <w:rStyle w:val="Enfasicorsivo"/>
          <w:rFonts w:ascii="Tahoma" w:hAnsi="Tahoma" w:cs="Tahoma"/>
          <w:i w:val="0"/>
          <w:color w:val="000000"/>
          <w:sz w:val="20"/>
          <w:szCs w:val="20"/>
          <w:shd w:val="clear" w:color="auto" w:fill="FFFFFF"/>
        </w:rPr>
        <w:t>Tale nuova norma, in vigore, a differenza della quasi totalità della disciplina del CCII, sin dal marzo 2019, prevede che “</w:t>
      </w:r>
      <w:r w:rsidRPr="00B15171">
        <w:rPr>
          <w:rStyle w:val="Enfasicorsivo"/>
          <w:rFonts w:ascii="Tahoma" w:hAnsi="Tahoma" w:cs="Tahoma"/>
          <w:color w:val="000000"/>
          <w:sz w:val="20"/>
          <w:szCs w:val="20"/>
          <w:u w:val="single"/>
          <w:shd w:val="clear" w:color="auto" w:fill="FFFFFF"/>
        </w:rPr>
        <w:t>l’imprenditore, che operi in forma societaria o collettiva, ha il dovere di istituire un a</w:t>
      </w:r>
      <w:r w:rsidRPr="00B15171">
        <w:rPr>
          <w:rFonts w:ascii="Tahoma" w:hAnsi="Tahoma" w:cs="Tahoma"/>
          <w:i/>
          <w:sz w:val="20"/>
          <w:szCs w:val="20"/>
          <w:u w:val="single"/>
        </w:rPr>
        <w:t>ssetto organizzativo, amministrativo e contabile</w:t>
      </w:r>
      <w:r w:rsidRPr="00B15171">
        <w:rPr>
          <w:rStyle w:val="Enfasicorsivo"/>
          <w:rFonts w:ascii="Tahoma" w:hAnsi="Tahoma" w:cs="Tahoma"/>
          <w:color w:val="000000"/>
          <w:sz w:val="20"/>
          <w:szCs w:val="20"/>
          <w:u w:val="single"/>
          <w:shd w:val="clear" w:color="auto" w:fill="FFFFFF"/>
        </w:rPr>
        <w:t xml:space="preserve"> adeguato alla natura e alle dimensioni dell’impresa, anche in funzione della rilevazione tempestiva della crisi dell’impresa e della perdita della continuità aziendale, </w:t>
      </w:r>
      <w:r w:rsidRPr="00B15171">
        <w:rPr>
          <w:rStyle w:val="Enfasigrassetto"/>
          <w:rFonts w:ascii="Tahoma" w:hAnsi="Tahoma" w:cs="Tahoma"/>
          <w:iCs/>
          <w:color w:val="000000"/>
          <w:sz w:val="20"/>
          <w:szCs w:val="20"/>
          <w:u w:val="single"/>
          <w:shd w:val="clear" w:color="auto" w:fill="FFFFFF"/>
        </w:rPr>
        <w:t xml:space="preserve"> </w:t>
      </w:r>
      <w:r w:rsidRPr="00B15171">
        <w:rPr>
          <w:rStyle w:val="Enfasicorsivo"/>
          <w:rFonts w:ascii="Tahoma" w:hAnsi="Tahoma" w:cs="Tahoma"/>
          <w:color w:val="000000"/>
          <w:sz w:val="20"/>
          <w:szCs w:val="20"/>
          <w:u w:val="single"/>
          <w:shd w:val="clear" w:color="auto" w:fill="FFFFFF"/>
        </w:rPr>
        <w:t>nonché di attivarsi senza indugio per l’adozione e l’attuazione di uno degli strumenti previsti dall’ordinamento per il superamento della crisi e il recupero della continuità aziendale</w:t>
      </w:r>
      <w:r w:rsidRPr="00B15171">
        <w:rPr>
          <w:rFonts w:ascii="Tahoma" w:hAnsi="Tahoma" w:cs="Tahoma"/>
          <w:color w:val="000000"/>
          <w:sz w:val="20"/>
          <w:szCs w:val="20"/>
          <w:u w:val="single"/>
          <w:shd w:val="clear" w:color="auto" w:fill="FFFFFF"/>
        </w:rPr>
        <w:t>”.</w:t>
      </w:r>
    </w:p>
    <w:p w14:paraId="7185B481"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Appare quindi evidente che il legislatore ha voluto collegare l’adeguatezza dell’assetto organizzativo, amministrativo e contabile, alla capacità di tale adeguato assetto di intercettare con tempestività gli indizi di crisi e consentire che la società riesca, grazie alla tempestiva intercettazione, ad intraprendere la strada di una soluzione della crisi non disgregativa.</w:t>
      </w:r>
    </w:p>
    <w:p w14:paraId="24D4967F" w14:textId="793B74ED" w:rsidR="00746AA5" w:rsidRPr="00746AA5" w:rsidRDefault="00746AA5" w:rsidP="00B15171">
      <w:pPr>
        <w:spacing w:after="200" w:line="360" w:lineRule="auto"/>
        <w:jc w:val="both"/>
        <w:rPr>
          <w:rFonts w:ascii="Tahoma" w:hAnsi="Tahoma" w:cs="Tahoma"/>
          <w:color w:val="000000"/>
          <w:sz w:val="20"/>
          <w:szCs w:val="20"/>
          <w:shd w:val="clear" w:color="auto" w:fill="FFFFFF"/>
        </w:rPr>
      </w:pPr>
      <w:r w:rsidRPr="00196E4D">
        <w:rPr>
          <w:rFonts w:ascii="Tahoma" w:hAnsi="Tahoma" w:cs="Tahoma"/>
          <w:sz w:val="20"/>
          <w:szCs w:val="20"/>
        </w:rPr>
        <w:t xml:space="preserve">Per </w:t>
      </w:r>
      <w:r w:rsidRPr="00196E4D">
        <w:rPr>
          <w:rFonts w:ascii="Tahoma" w:hAnsi="Tahoma" w:cs="Tahoma"/>
          <w:b/>
          <w:bCs/>
          <w:sz w:val="20"/>
          <w:szCs w:val="20"/>
        </w:rPr>
        <w:t>assetto organizzativo</w:t>
      </w:r>
      <w:r w:rsidRPr="00196E4D">
        <w:rPr>
          <w:rFonts w:ascii="Tahoma" w:hAnsi="Tahoma" w:cs="Tahoma"/>
          <w:sz w:val="20"/>
          <w:szCs w:val="20"/>
        </w:rPr>
        <w:t xml:space="preserve"> si intende: (i) il sistema di </w:t>
      </w:r>
      <w:proofErr w:type="spellStart"/>
      <w:r w:rsidRPr="00196E4D">
        <w:rPr>
          <w:rFonts w:ascii="Tahoma" w:hAnsi="Tahoma" w:cs="Tahoma"/>
          <w:sz w:val="20"/>
          <w:szCs w:val="20"/>
        </w:rPr>
        <w:t>funzionigramma</w:t>
      </w:r>
      <w:proofErr w:type="spellEnd"/>
      <w:r w:rsidRPr="00196E4D">
        <w:rPr>
          <w:rFonts w:ascii="Tahoma" w:hAnsi="Tahoma" w:cs="Tahoma"/>
          <w:sz w:val="20"/>
          <w:szCs w:val="20"/>
        </w:rPr>
        <w:t xml:space="preserve"> e di organigramma e, in particolare, il complesso delle direttive e delle procedure stabilite per garantire che il potere decisionale sia assegnato ed effettivamente esercitato a un appropriato livello di competenza e responsabilità, (ii) il complesso procedurale di controllo. Un assetto organizzativo è adeguato se presenta una struttura compatibile alle dimensioni della società, nonché alla natura e alle modalità di perseguimento dell’oggetto sociale, nonché alla rilevazione tempestiva degli indizi di crisi e di perdita della continuità aziendale e possa quindi consentire, agli amministratori preposti, una sollecita adozione delle misure più idonee alla sua rilevazione e alla sua composizione</w:t>
      </w:r>
      <w:r>
        <w:rPr>
          <w:rStyle w:val="Rimandonotaapidipagina"/>
          <w:rFonts w:ascii="Tahoma" w:hAnsi="Tahoma" w:cs="Tahoma"/>
          <w:sz w:val="20"/>
          <w:szCs w:val="20"/>
        </w:rPr>
        <w:footnoteReference w:id="2"/>
      </w:r>
      <w:r w:rsidRPr="00196E4D">
        <w:rPr>
          <w:rFonts w:ascii="Tahoma" w:hAnsi="Tahoma" w:cs="Tahoma"/>
          <w:sz w:val="20"/>
          <w:szCs w:val="20"/>
        </w:rPr>
        <w:t>.</w:t>
      </w:r>
    </w:p>
    <w:p w14:paraId="7D5079AC" w14:textId="591A332F" w:rsidR="0096062D"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 xml:space="preserve">Per </w:t>
      </w:r>
      <w:r w:rsidRPr="00B15171">
        <w:rPr>
          <w:rFonts w:ascii="Tahoma" w:hAnsi="Tahoma" w:cs="Tahoma"/>
          <w:b/>
          <w:color w:val="000000"/>
          <w:sz w:val="20"/>
          <w:szCs w:val="20"/>
          <w:shd w:val="clear" w:color="auto" w:fill="FFFFFF"/>
        </w:rPr>
        <w:t>assetto amministrativo e contabile</w:t>
      </w:r>
      <w:r w:rsidRPr="00B15171">
        <w:rPr>
          <w:rFonts w:ascii="Tahoma" w:hAnsi="Tahoma" w:cs="Tahoma"/>
          <w:color w:val="000000"/>
          <w:sz w:val="20"/>
          <w:szCs w:val="20"/>
          <w:shd w:val="clear" w:color="auto" w:fill="FFFFFF"/>
        </w:rPr>
        <w:t xml:space="preserve"> si intende quell’insieme di direttive, procedure e prassi dirette a garantire la completezza, la correttezza e la tempestività di una informativa societaria attendibile, così che esso si rileva adeguato quando consente la completa, tempestiva e attendibile rilevazione contabile e rappresentazione dei fatti di gestione, la produzione di informazioni utili per le scelte di gestione e la salvaguardia del patrimonio sociale e la produzione di dati attendibili per la formazione del bilancio di esercizio</w:t>
      </w:r>
      <w:r w:rsidRPr="00B15171">
        <w:rPr>
          <w:rStyle w:val="Rimandonotaapidipagina"/>
          <w:rFonts w:ascii="Tahoma" w:hAnsi="Tahoma" w:cs="Tahoma"/>
          <w:color w:val="000000"/>
          <w:sz w:val="20"/>
          <w:szCs w:val="20"/>
          <w:shd w:val="clear" w:color="auto" w:fill="FFFFFF"/>
        </w:rPr>
        <w:footnoteReference w:id="3"/>
      </w:r>
    </w:p>
    <w:p w14:paraId="1358B1F3" w14:textId="1ECBE6FF"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 xml:space="preserve">Le nuove </w:t>
      </w:r>
      <w:r w:rsidRPr="00B15171">
        <w:rPr>
          <w:rFonts w:ascii="Tahoma" w:hAnsi="Tahoma" w:cs="Tahoma"/>
          <w:i/>
          <w:iCs/>
          <w:color w:val="000000"/>
          <w:sz w:val="20"/>
          <w:szCs w:val="20"/>
          <w:shd w:val="clear" w:color="auto" w:fill="FFFFFF"/>
        </w:rPr>
        <w:t xml:space="preserve">Norme di Comportamento del Collegio Sindacale di </w:t>
      </w:r>
      <w:r w:rsidR="002E74BF" w:rsidRPr="00B15171">
        <w:rPr>
          <w:rFonts w:ascii="Tahoma" w:hAnsi="Tahoma" w:cs="Tahoma"/>
          <w:i/>
          <w:iCs/>
          <w:color w:val="000000"/>
          <w:sz w:val="20"/>
          <w:szCs w:val="20"/>
          <w:shd w:val="clear" w:color="auto" w:fill="FFFFFF"/>
        </w:rPr>
        <w:t>S</w:t>
      </w:r>
      <w:r w:rsidRPr="00B15171">
        <w:rPr>
          <w:rFonts w:ascii="Tahoma" w:hAnsi="Tahoma" w:cs="Tahoma"/>
          <w:i/>
          <w:iCs/>
          <w:color w:val="000000"/>
          <w:sz w:val="20"/>
          <w:szCs w:val="20"/>
          <w:shd w:val="clear" w:color="auto" w:fill="FFFFFF"/>
        </w:rPr>
        <w:t>ocietà non quotate</w:t>
      </w:r>
      <w:r w:rsidRPr="00B15171">
        <w:rPr>
          <w:rFonts w:ascii="Tahoma" w:hAnsi="Tahoma" w:cs="Tahoma"/>
          <w:color w:val="000000"/>
          <w:sz w:val="20"/>
          <w:szCs w:val="20"/>
          <w:shd w:val="clear" w:color="auto" w:fill="FFFFFF"/>
        </w:rPr>
        <w:t xml:space="preserve"> (NCCS), riemesse </w:t>
      </w:r>
      <w:r w:rsidR="002E74BF" w:rsidRPr="00B15171">
        <w:rPr>
          <w:rFonts w:ascii="Tahoma" w:hAnsi="Tahoma" w:cs="Tahoma"/>
          <w:color w:val="000000"/>
          <w:sz w:val="20"/>
          <w:szCs w:val="20"/>
          <w:shd w:val="clear" w:color="auto" w:fill="FFFFFF"/>
        </w:rPr>
        <w:t xml:space="preserve">dal Consiglio Nazionale dei Dottori Commercialisti ed Esperti contabili </w:t>
      </w:r>
      <w:r w:rsidRPr="00B15171">
        <w:rPr>
          <w:rFonts w:ascii="Tahoma" w:hAnsi="Tahoma" w:cs="Tahoma"/>
          <w:color w:val="000000"/>
          <w:sz w:val="20"/>
          <w:szCs w:val="20"/>
          <w:shd w:val="clear" w:color="auto" w:fill="FFFFFF"/>
        </w:rPr>
        <w:t xml:space="preserve">nel </w:t>
      </w:r>
      <w:r w:rsidR="00746AA5">
        <w:rPr>
          <w:rFonts w:ascii="Tahoma" w:hAnsi="Tahoma" w:cs="Tahoma"/>
          <w:color w:val="000000"/>
          <w:sz w:val="20"/>
          <w:szCs w:val="20"/>
          <w:shd w:val="clear" w:color="auto" w:fill="FFFFFF"/>
        </w:rPr>
        <w:t>dicembre 2023</w:t>
      </w:r>
      <w:r w:rsidRPr="00B15171">
        <w:rPr>
          <w:rFonts w:ascii="Tahoma" w:hAnsi="Tahoma" w:cs="Tahoma"/>
          <w:color w:val="000000"/>
          <w:sz w:val="20"/>
          <w:szCs w:val="20"/>
          <w:shd w:val="clear" w:color="auto" w:fill="FFFFFF"/>
        </w:rPr>
        <w:t>, affrontano la questione della vigilanza sulla continuità aziendale nel capitolo 11.</w:t>
      </w:r>
    </w:p>
    <w:p w14:paraId="4CAF717F" w14:textId="6C6321E6"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 xml:space="preserve">Nella Norma 11.1 viene data particolare enfasi innanzitutto alla vigilanza sull’adeguatezza del sistema organizzativo, amministrativo e contabile. Assumono poi rilevanza gli scambi di informazioni con il revisore, </w:t>
      </w:r>
      <w:r w:rsidRPr="00B15171">
        <w:rPr>
          <w:rFonts w:ascii="Tahoma" w:hAnsi="Tahoma" w:cs="Tahoma"/>
          <w:color w:val="000000"/>
          <w:sz w:val="20"/>
          <w:szCs w:val="20"/>
          <w:shd w:val="clear" w:color="auto" w:fill="FFFFFF"/>
        </w:rPr>
        <w:lastRenderedPageBreak/>
        <w:t>sempreché, ovviamente, la funzione di revisione non sia assegnata al collegio</w:t>
      </w:r>
      <w:r w:rsidR="00CC2860" w:rsidRPr="00B15171">
        <w:rPr>
          <w:rFonts w:ascii="Tahoma" w:hAnsi="Tahoma" w:cs="Tahoma"/>
          <w:color w:val="000000"/>
          <w:sz w:val="20"/>
          <w:szCs w:val="20"/>
          <w:shd w:val="clear" w:color="auto" w:fill="FFFFFF"/>
        </w:rPr>
        <w:t xml:space="preserve"> stesso</w:t>
      </w:r>
      <w:r w:rsidRPr="00B15171">
        <w:rPr>
          <w:rFonts w:ascii="Tahoma" w:hAnsi="Tahoma" w:cs="Tahoma"/>
          <w:color w:val="000000"/>
          <w:sz w:val="20"/>
          <w:szCs w:val="20"/>
          <w:shd w:val="clear" w:color="auto" w:fill="FFFFFF"/>
        </w:rPr>
        <w:t>, e le richieste di informazioni all’organo amministrativo.</w:t>
      </w:r>
    </w:p>
    <w:p w14:paraId="01A1F426" w14:textId="5E66B576"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Una problematica particolare è quella delle società nelle quali la gestione è in mano ad un amministratore unico, perché, in tal caso, non essendo presente un organo che esercita la sua funzione mediante adunanze, le informazioni possono arrivare al collegio sindacale solo mediante una attività di richiesta diretta</w:t>
      </w:r>
      <w:r w:rsidR="002E74BF" w:rsidRPr="00B15171">
        <w:rPr>
          <w:rFonts w:ascii="Tahoma" w:hAnsi="Tahoma" w:cs="Tahoma"/>
          <w:color w:val="000000"/>
          <w:sz w:val="20"/>
          <w:szCs w:val="20"/>
          <w:shd w:val="clear" w:color="auto" w:fill="FFFFFF"/>
        </w:rPr>
        <w:t xml:space="preserve"> delle informazioni stesse</w:t>
      </w:r>
      <w:r w:rsidRPr="00B15171">
        <w:rPr>
          <w:rFonts w:ascii="Tahoma" w:hAnsi="Tahoma" w:cs="Tahoma"/>
          <w:color w:val="000000"/>
          <w:sz w:val="20"/>
          <w:szCs w:val="20"/>
          <w:shd w:val="clear" w:color="auto" w:fill="FFFFFF"/>
        </w:rPr>
        <w:t>.</w:t>
      </w:r>
    </w:p>
    <w:p w14:paraId="12E84B9F" w14:textId="7BE644F0"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Qualora il collegio ritenga che il sistema di controllo interno e gli assetti non siano adeguati per individuare la perdita della continuità aziendale, il collegio dovrebbe richiedere informazioni e chiarimenti agli amministratori e chiedere l’adozione di interventi tempestivi per garantire la continuità aziendale, anche per il tramite, come richiesto dal seco</w:t>
      </w:r>
      <w:r w:rsidR="007816C0" w:rsidRPr="00B15171">
        <w:rPr>
          <w:rFonts w:ascii="Tahoma" w:hAnsi="Tahoma" w:cs="Tahoma"/>
          <w:color w:val="000000"/>
          <w:sz w:val="20"/>
          <w:szCs w:val="20"/>
          <w:shd w:val="clear" w:color="auto" w:fill="FFFFFF"/>
        </w:rPr>
        <w:t>ndo comma dell’art. 2086 c.c., de</w:t>
      </w:r>
      <w:r w:rsidRPr="00B15171">
        <w:rPr>
          <w:rFonts w:ascii="Tahoma" w:hAnsi="Tahoma" w:cs="Tahoma"/>
          <w:color w:val="000000"/>
          <w:sz w:val="20"/>
          <w:szCs w:val="20"/>
          <w:shd w:val="clear" w:color="auto" w:fill="FFFFFF"/>
        </w:rPr>
        <w:t xml:space="preserve">l ricorso a strumenti previsti dall’ordinamento per il recupero della continuità, alternativi </w:t>
      </w:r>
      <w:r w:rsidR="00E80842" w:rsidRPr="00B15171">
        <w:rPr>
          <w:rFonts w:ascii="Tahoma" w:hAnsi="Tahoma" w:cs="Tahoma"/>
          <w:color w:val="000000"/>
          <w:sz w:val="20"/>
          <w:szCs w:val="20"/>
          <w:shd w:val="clear" w:color="auto" w:fill="FFFFFF"/>
        </w:rPr>
        <w:t xml:space="preserve">alla </w:t>
      </w:r>
      <w:r w:rsidRPr="00B15171">
        <w:rPr>
          <w:rFonts w:ascii="Tahoma" w:hAnsi="Tahoma" w:cs="Tahoma"/>
          <w:color w:val="000000"/>
          <w:sz w:val="20"/>
          <w:szCs w:val="20"/>
          <w:shd w:val="clear" w:color="auto" w:fill="FFFFFF"/>
        </w:rPr>
        <w:t>liquidazione giudiziale e che consentano che il complesso aziendale non venga disgregato.</w:t>
      </w:r>
    </w:p>
    <w:p w14:paraId="74A9DFEF"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Dopo l’adozione dei provvedimenti da parte dell’organo amministrativo, il collegio deve procedere a vigilare sull’attuazione dei provvedimenti diretti a ripristinare la situazione di equilibrio, intensificando l’attività di verifica e di monitoraggio al fine di salvaguardare il patrimonio sociale.</w:t>
      </w:r>
    </w:p>
    <w:p w14:paraId="3400D779"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r w:rsidRPr="00B15171">
        <w:rPr>
          <w:rFonts w:ascii="Tahoma" w:hAnsi="Tahoma" w:cs="Tahoma"/>
          <w:color w:val="000000"/>
          <w:sz w:val="20"/>
          <w:szCs w:val="20"/>
          <w:shd w:val="clear" w:color="auto" w:fill="FFFFFF"/>
        </w:rPr>
        <w:t>Non può essere sottaciuto come il collegio sindacale abbia anche il dovere di sostituirsi all’organo amministrativo, in caso di inerzia, nell’ipotesi in cui sussista una perdita sup</w:t>
      </w:r>
      <w:r w:rsidR="007816C0" w:rsidRPr="00B15171">
        <w:rPr>
          <w:rFonts w:ascii="Tahoma" w:hAnsi="Tahoma" w:cs="Tahoma"/>
          <w:color w:val="000000"/>
          <w:sz w:val="20"/>
          <w:szCs w:val="20"/>
          <w:shd w:val="clear" w:color="auto" w:fill="FFFFFF"/>
        </w:rPr>
        <w:t>eriore ad un terzo del capitale.</w:t>
      </w:r>
    </w:p>
    <w:p w14:paraId="1F571C58" w14:textId="77777777" w:rsidR="0096062D" w:rsidRPr="00B15171" w:rsidRDefault="0096062D" w:rsidP="00B15171">
      <w:pPr>
        <w:spacing w:after="200" w:line="360" w:lineRule="auto"/>
        <w:jc w:val="both"/>
        <w:rPr>
          <w:rFonts w:ascii="Tahoma" w:hAnsi="Tahoma" w:cs="Tahoma"/>
          <w:color w:val="000000"/>
          <w:sz w:val="20"/>
          <w:szCs w:val="20"/>
          <w:shd w:val="clear" w:color="auto" w:fill="FFFFFF"/>
        </w:rPr>
      </w:pPr>
    </w:p>
    <w:p w14:paraId="1B98AAF5" w14:textId="60232355" w:rsidR="0096062D" w:rsidRPr="00312A65" w:rsidRDefault="00312A65" w:rsidP="00312A65">
      <w:pPr>
        <w:pStyle w:val="Titolo2"/>
      </w:pPr>
      <w:bookmarkStart w:id="4" w:name="_Toc161309090"/>
      <w:r>
        <w:t>1</w:t>
      </w:r>
      <w:r w:rsidR="0096062D" w:rsidRPr="00B15171">
        <w:t>.3 Le verifiche del revisore sulla continuità aziendale</w:t>
      </w:r>
      <w:bookmarkEnd w:id="4"/>
    </w:p>
    <w:p w14:paraId="4AE33CAA"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L’attività di verifica del revisore è basata su uno specifico principio di revisione, il Principio di revisione internazionale (ISA Italia) 570.</w:t>
      </w:r>
    </w:p>
    <w:p w14:paraId="0A9B206D"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La verifica del revisore sulla sussistenza della continuità aziendale è da eseguirsi in ragione ed in </w:t>
      </w:r>
      <w:r w:rsidR="00C9690D" w:rsidRPr="00B15171">
        <w:rPr>
          <w:rFonts w:ascii="Tahoma" w:hAnsi="Tahoma" w:cs="Tahoma"/>
          <w:sz w:val="20"/>
          <w:szCs w:val="20"/>
        </w:rPr>
        <w:t>conseguenza</w:t>
      </w:r>
      <w:r w:rsidRPr="00B15171">
        <w:rPr>
          <w:rFonts w:ascii="Tahoma" w:hAnsi="Tahoma" w:cs="Tahoma"/>
          <w:sz w:val="20"/>
          <w:szCs w:val="20"/>
        </w:rPr>
        <w:t xml:space="preserve"> della verifica sulla sussistenza della continuità che deve ess</w:t>
      </w:r>
      <w:r w:rsidR="007816C0" w:rsidRPr="00B15171">
        <w:rPr>
          <w:rFonts w:ascii="Tahoma" w:hAnsi="Tahoma" w:cs="Tahoma"/>
          <w:sz w:val="20"/>
          <w:szCs w:val="20"/>
        </w:rPr>
        <w:t>ere operata dagli amministratori</w:t>
      </w:r>
      <w:r w:rsidRPr="00B15171">
        <w:rPr>
          <w:rFonts w:ascii="Tahoma" w:hAnsi="Tahoma" w:cs="Tahoma"/>
          <w:sz w:val="20"/>
          <w:szCs w:val="20"/>
        </w:rPr>
        <w:t>.</w:t>
      </w:r>
    </w:p>
    <w:p w14:paraId="7C37A0D4"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u w:val="single"/>
        </w:rPr>
        <w:t>Il revisore</w:t>
      </w:r>
      <w:r w:rsidRPr="00B15171">
        <w:rPr>
          <w:rFonts w:ascii="Tahoma" w:hAnsi="Tahoma" w:cs="Tahoma"/>
          <w:sz w:val="20"/>
          <w:szCs w:val="20"/>
        </w:rPr>
        <w:t xml:space="preserve">, cioè, </w:t>
      </w:r>
      <w:r w:rsidRPr="00B15171">
        <w:rPr>
          <w:rFonts w:ascii="Tahoma" w:hAnsi="Tahoma" w:cs="Tahoma"/>
          <w:sz w:val="20"/>
          <w:szCs w:val="20"/>
          <w:u w:val="single"/>
        </w:rPr>
        <w:t>valuta la valutazione che gli amministratori esegu</w:t>
      </w:r>
      <w:r w:rsidR="00C9690D" w:rsidRPr="00B15171">
        <w:rPr>
          <w:rFonts w:ascii="Tahoma" w:hAnsi="Tahoma" w:cs="Tahoma"/>
          <w:sz w:val="20"/>
          <w:szCs w:val="20"/>
          <w:u w:val="single"/>
        </w:rPr>
        <w:t>ono sulla capacità dell’impresa</w:t>
      </w:r>
      <w:r w:rsidRPr="00B15171">
        <w:rPr>
          <w:rFonts w:ascii="Tahoma" w:hAnsi="Tahoma" w:cs="Tahoma"/>
          <w:sz w:val="20"/>
          <w:szCs w:val="20"/>
          <w:u w:val="single"/>
        </w:rPr>
        <w:t xml:space="preserve"> di continuare ad operare come un’entità in funzionamento</w:t>
      </w:r>
      <w:r w:rsidRPr="00B15171">
        <w:rPr>
          <w:rFonts w:ascii="Tahoma" w:hAnsi="Tahoma" w:cs="Tahoma"/>
          <w:sz w:val="20"/>
          <w:szCs w:val="20"/>
        </w:rPr>
        <w:t>.</w:t>
      </w:r>
    </w:p>
    <w:p w14:paraId="7D21DDCC"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Gli obiettivi del revisore sono:</w:t>
      </w:r>
    </w:p>
    <w:p w14:paraId="1746D3D2" w14:textId="5CF3ABCF" w:rsidR="0096062D" w:rsidRPr="00312A65" w:rsidRDefault="0096062D">
      <w:pPr>
        <w:pStyle w:val="Paragrafoelenco"/>
        <w:numPr>
          <w:ilvl w:val="0"/>
          <w:numId w:val="13"/>
        </w:numPr>
        <w:spacing w:after="200" w:line="360" w:lineRule="auto"/>
        <w:jc w:val="both"/>
        <w:rPr>
          <w:rFonts w:ascii="Tahoma" w:hAnsi="Tahoma" w:cs="Tahoma"/>
          <w:sz w:val="20"/>
          <w:szCs w:val="20"/>
        </w:rPr>
      </w:pPr>
      <w:r w:rsidRPr="00312A65">
        <w:rPr>
          <w:rFonts w:ascii="Tahoma" w:hAnsi="Tahoma" w:cs="Tahoma"/>
          <w:sz w:val="20"/>
          <w:szCs w:val="20"/>
        </w:rPr>
        <w:t xml:space="preserve">acquisire elementi probativi sufficienti ed appropriati sull’utilizzo appropriato da parte della direzione del presupposto della continuità aziendale nella redazione del bilancio e giungere ad una conclusione a tale riguardo; </w:t>
      </w:r>
    </w:p>
    <w:p w14:paraId="1338EABF" w14:textId="34C68129" w:rsidR="0096062D" w:rsidRPr="00312A65" w:rsidRDefault="0096062D">
      <w:pPr>
        <w:pStyle w:val="Paragrafoelenco"/>
        <w:numPr>
          <w:ilvl w:val="0"/>
          <w:numId w:val="13"/>
        </w:numPr>
        <w:spacing w:after="200" w:line="360" w:lineRule="auto"/>
        <w:jc w:val="both"/>
        <w:rPr>
          <w:rFonts w:ascii="Tahoma" w:hAnsi="Tahoma" w:cs="Tahoma"/>
          <w:sz w:val="20"/>
          <w:szCs w:val="20"/>
        </w:rPr>
      </w:pPr>
      <w:r w:rsidRPr="00312A65">
        <w:rPr>
          <w:rFonts w:ascii="Tahoma" w:hAnsi="Tahoma" w:cs="Tahoma"/>
          <w:sz w:val="20"/>
          <w:szCs w:val="20"/>
        </w:rPr>
        <w:t xml:space="preserve">concludere, sulla base degli elementi probativi acquisiti, se esista un’incertezza significativa relativa ad eventi o circostanze che possono far sorgere dubbi significativi sulla capacità dell’impresa di continuare ad operare come un’entità in funzionamento; </w:t>
      </w:r>
    </w:p>
    <w:p w14:paraId="0992517F" w14:textId="3C1DBE1A" w:rsidR="0096062D" w:rsidRPr="00312A65" w:rsidRDefault="0096062D">
      <w:pPr>
        <w:pStyle w:val="Paragrafoelenco"/>
        <w:numPr>
          <w:ilvl w:val="0"/>
          <w:numId w:val="13"/>
        </w:numPr>
        <w:spacing w:after="200" w:line="360" w:lineRule="auto"/>
        <w:jc w:val="both"/>
        <w:rPr>
          <w:rFonts w:ascii="Tahoma" w:hAnsi="Tahoma" w:cs="Tahoma"/>
          <w:sz w:val="20"/>
          <w:szCs w:val="20"/>
        </w:rPr>
      </w:pPr>
      <w:r w:rsidRPr="00312A65">
        <w:rPr>
          <w:rFonts w:ascii="Tahoma" w:hAnsi="Tahoma" w:cs="Tahoma"/>
          <w:sz w:val="20"/>
          <w:szCs w:val="20"/>
        </w:rPr>
        <w:lastRenderedPageBreak/>
        <w:t>formulare la relazione di revisione in conformità al principio ISA 570.</w:t>
      </w:r>
    </w:p>
    <w:p w14:paraId="21E2BA51"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Nell’ambito delle procedure di valutazione ed identificazione del rischio, il revisore deve valutare se esistano eventi e circostanze che potrebbero sollevare dubbi significativi sulla sussistenza della continuità.</w:t>
      </w:r>
    </w:p>
    <w:p w14:paraId="121272CC"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Il revisore deve quindi valutare, come detto, la valutazione degli amministratori in merito all’utilizzo del presupposto della continuità aziendale e se non è ancora stata effettuata </w:t>
      </w:r>
      <w:r w:rsidR="007816C0" w:rsidRPr="00B15171">
        <w:rPr>
          <w:rFonts w:ascii="Tahoma" w:hAnsi="Tahoma" w:cs="Tahoma"/>
          <w:sz w:val="20"/>
          <w:szCs w:val="20"/>
        </w:rPr>
        <w:t>tale</w:t>
      </w:r>
      <w:r w:rsidRPr="00B15171">
        <w:rPr>
          <w:rFonts w:ascii="Tahoma" w:hAnsi="Tahoma" w:cs="Tahoma"/>
          <w:sz w:val="20"/>
          <w:szCs w:val="20"/>
        </w:rPr>
        <w:t xml:space="preserve"> valutazione, il revisore deve comprendere come gli amministratori intendano utilizzare il presupposto della continuità aziendale e deve indagare se esistano eventi o circostanze che possano far sorgere dubbi significativi sulla capacità dell’impresa di continuare ad operare come un’entità in funzionamento.</w:t>
      </w:r>
    </w:p>
    <w:p w14:paraId="6372B19C" w14:textId="0EF8BD51" w:rsidR="00C5126C"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 verifica da operare da parte del revisore deve coprire un orizzonte temporale che, anche in ragione del Principio di Revisione internazionale (ISA Italia) 560, può essere individuato, in sintonia con l’OIC 11, in dodici mesi dalla data di riferimento del bilancio.</w:t>
      </w:r>
    </w:p>
    <w:p w14:paraId="45ABD8E4" w14:textId="7C9461A3" w:rsidR="00C5126C" w:rsidRPr="00B15171" w:rsidRDefault="00C5126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Nell’ambito della sua verifica, il revisore deve utilizzare lo </w:t>
      </w:r>
      <w:r w:rsidRPr="00B15171">
        <w:rPr>
          <w:rFonts w:ascii="Tahoma" w:hAnsi="Tahoma" w:cs="Tahoma"/>
          <w:sz w:val="20"/>
          <w:szCs w:val="20"/>
          <w:u w:val="single"/>
        </w:rPr>
        <w:t>scetticismo professionale</w:t>
      </w:r>
      <w:r w:rsidRPr="00B15171">
        <w:rPr>
          <w:rFonts w:ascii="Tahoma" w:hAnsi="Tahoma" w:cs="Tahoma"/>
          <w:sz w:val="20"/>
          <w:szCs w:val="20"/>
        </w:rPr>
        <w:t>.</w:t>
      </w:r>
    </w:p>
    <w:p w14:paraId="6CAC82CF" w14:textId="77777777" w:rsidR="00C5126C" w:rsidRPr="00B15171" w:rsidRDefault="00C5126C" w:rsidP="00B15171">
      <w:pPr>
        <w:spacing w:after="200" w:line="360" w:lineRule="auto"/>
        <w:jc w:val="both"/>
        <w:rPr>
          <w:rFonts w:ascii="Tahoma" w:hAnsi="Tahoma" w:cs="Tahoma"/>
          <w:i/>
          <w:sz w:val="20"/>
          <w:szCs w:val="20"/>
        </w:rPr>
      </w:pPr>
      <w:r w:rsidRPr="00B15171">
        <w:rPr>
          <w:rFonts w:ascii="Tahoma" w:hAnsi="Tahoma" w:cs="Tahoma"/>
          <w:sz w:val="20"/>
          <w:szCs w:val="20"/>
        </w:rPr>
        <w:t xml:space="preserve">Lo scetticismo professionale è definito dall’art. 9, comma 4, del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come “</w:t>
      </w:r>
      <w:r w:rsidRPr="00B15171">
        <w:rPr>
          <w:rFonts w:ascii="Tahoma" w:hAnsi="Tahoma" w:cs="Tahoma"/>
          <w:i/>
          <w:sz w:val="20"/>
          <w:szCs w:val="20"/>
        </w:rPr>
        <w:t>un atteggiamento caratterizzato da un approccio dubitativo, dal costante monitoraggio delle condizioni che potrebbero indicare una potenziale inesattezza dovuta a errore o frode, nonché da una valutazione critica della documentazione inerente alla revisione”.</w:t>
      </w:r>
    </w:p>
    <w:p w14:paraId="2E6F992C" w14:textId="778382AC" w:rsidR="00C5126C" w:rsidRPr="00B15171" w:rsidRDefault="00C5126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 comma 3 del medesimo articolo 9, la norma richiede che </w:t>
      </w:r>
      <w:r w:rsidRPr="00B15171">
        <w:rPr>
          <w:rFonts w:ascii="Tahoma" w:hAnsi="Tahoma" w:cs="Tahoma"/>
          <w:sz w:val="20"/>
          <w:szCs w:val="20"/>
          <w:u w:val="single"/>
        </w:rPr>
        <w:t>il revisore eserciti lo scetticismo professionale in particolare durante la revisione delle stime della direzione riguardanti la capacità dell’impresa di continuare ad operare come un’entità in funzionamento</w:t>
      </w:r>
      <w:r w:rsidRPr="00B15171">
        <w:rPr>
          <w:rFonts w:ascii="Tahoma" w:hAnsi="Tahoma" w:cs="Tahoma"/>
          <w:sz w:val="20"/>
          <w:szCs w:val="20"/>
        </w:rPr>
        <w:t>.</w:t>
      </w:r>
    </w:p>
    <w:p w14:paraId="0A53F392" w14:textId="77777777" w:rsidR="00C5126C" w:rsidRPr="00B15171" w:rsidRDefault="00C5126C" w:rsidP="00B15171">
      <w:pPr>
        <w:spacing w:after="200" w:line="360" w:lineRule="auto"/>
        <w:jc w:val="both"/>
        <w:rPr>
          <w:rFonts w:ascii="Tahoma" w:hAnsi="Tahoma" w:cs="Tahoma"/>
          <w:sz w:val="20"/>
          <w:szCs w:val="20"/>
        </w:rPr>
      </w:pPr>
      <w:r w:rsidRPr="00B15171">
        <w:rPr>
          <w:rFonts w:ascii="Tahoma" w:hAnsi="Tahoma" w:cs="Tahoma"/>
          <w:sz w:val="20"/>
          <w:szCs w:val="20"/>
        </w:rPr>
        <w:t xml:space="preserve">Quindi la verifica della valutazione sulla continuità, sulla correttezza dell’applicazione del presupposto della continuità nella stesura del bilancio, sulla sussistenza di dubbi significativi sulla continuità stessa, è improntata, non per indicazione dei principi di revisione, ma per adamantina imposizione normativa, ad un particolare scetticismo. </w:t>
      </w:r>
    </w:p>
    <w:p w14:paraId="41630ED0" w14:textId="0B38EDCF" w:rsidR="0096062D"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C5126C" w:rsidRPr="00B15171">
        <w:rPr>
          <w:rFonts w:ascii="Tahoma" w:hAnsi="Tahoma" w:cs="Tahoma"/>
          <w:sz w:val="20"/>
          <w:szCs w:val="20"/>
        </w:rPr>
        <w:t xml:space="preserve"> la legge che impone al revisore di porre particolare attenzione, impregnata di scetticismo, a quanto indicato in bilancio dagli amministratori in materia di continuità, ma anche (anzi soprattutto) a quanto </w:t>
      </w:r>
      <w:r w:rsidR="00C5126C" w:rsidRPr="00B15171">
        <w:rPr>
          <w:rFonts w:ascii="Tahoma" w:hAnsi="Tahoma" w:cs="Tahoma"/>
          <w:i/>
          <w:sz w:val="20"/>
          <w:szCs w:val="20"/>
        </w:rPr>
        <w:t>non</w:t>
      </w:r>
      <w:r w:rsidR="00C5126C" w:rsidRPr="00B15171">
        <w:rPr>
          <w:rFonts w:ascii="Tahoma" w:hAnsi="Tahoma" w:cs="Tahoma"/>
          <w:sz w:val="20"/>
          <w:szCs w:val="20"/>
        </w:rPr>
        <w:t xml:space="preserve"> indicato in bilancio dagli amministratori.</w:t>
      </w:r>
    </w:p>
    <w:p w14:paraId="053DFFAA" w14:textId="2207D247" w:rsidR="00E80842"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Quindi:</w:t>
      </w:r>
    </w:p>
    <w:tbl>
      <w:tblPr>
        <w:tblStyle w:val="Grigliatabella"/>
        <w:tblW w:w="0" w:type="auto"/>
        <w:tblLook w:val="04A0" w:firstRow="1" w:lastRow="0" w:firstColumn="1" w:lastColumn="0" w:noHBand="0" w:noVBand="1"/>
      </w:tblPr>
      <w:tblGrid>
        <w:gridCol w:w="9628"/>
      </w:tblGrid>
      <w:tr w:rsidR="00A51657" w14:paraId="56FBDEFC" w14:textId="77777777" w:rsidTr="003B5138">
        <w:tc>
          <w:tcPr>
            <w:tcW w:w="9628" w:type="dxa"/>
          </w:tcPr>
          <w:p w14:paraId="69A22D46" w14:textId="09AE55E0"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 xml:space="preserve">Gli amministratori devono valutare la sussistenza della continuità per 12 mesi dalla data di riferimento del bilancio (ad esempio: Bilancio al 31/12/2023 </w:t>
            </w:r>
            <w:r w:rsidRPr="00B15171">
              <w:rPr>
                <w:rFonts w:ascii="Tahoma" w:hAnsi="Tahoma" w:cs="Tahoma"/>
                <w:i/>
                <w:sz w:val="20"/>
                <w:szCs w:val="20"/>
              </w:rPr>
              <w:sym w:font="Wingdings" w:char="F0E0"/>
            </w:r>
            <w:r w:rsidRPr="00A51657">
              <w:rPr>
                <w:rFonts w:ascii="Tahoma" w:hAnsi="Tahoma" w:cs="Tahoma"/>
                <w:i/>
                <w:iCs/>
                <w:sz w:val="20"/>
                <w:szCs w:val="20"/>
              </w:rPr>
              <w:t xml:space="preserve"> verifica fino al 31/12/2024)</w:t>
            </w:r>
          </w:p>
          <w:p w14:paraId="19F7EAEA" w14:textId="114BBE2A" w:rsidR="00A51657" w:rsidRDefault="00A51657" w:rsidP="00A51657">
            <w:pPr>
              <w:spacing w:before="60" w:after="60" w:line="326" w:lineRule="auto"/>
              <w:jc w:val="both"/>
              <w:rPr>
                <w:rFonts w:ascii="Tahoma" w:hAnsi="Tahoma" w:cs="Tahoma"/>
                <w:sz w:val="20"/>
                <w:szCs w:val="20"/>
              </w:rPr>
            </w:pPr>
            <w:r w:rsidRPr="00A51657">
              <w:rPr>
                <w:rFonts w:ascii="Tahoma" w:hAnsi="Tahoma" w:cs="Tahoma"/>
                <w:i/>
                <w:iCs/>
                <w:sz w:val="20"/>
                <w:szCs w:val="20"/>
              </w:rPr>
              <w:t xml:space="preserve">Il revisore deve verificare la valutazione operata dagli amministratori </w:t>
            </w:r>
            <w:r w:rsidRPr="00B15171">
              <w:rPr>
                <w:rFonts w:ascii="Tahoma" w:hAnsi="Tahoma" w:cs="Tahoma"/>
                <w:i/>
                <w:sz w:val="20"/>
                <w:szCs w:val="20"/>
              </w:rPr>
              <w:sym w:font="Wingdings" w:char="F0E0"/>
            </w:r>
            <w:r w:rsidRPr="00A51657">
              <w:rPr>
                <w:rFonts w:ascii="Tahoma" w:hAnsi="Tahoma" w:cs="Tahoma"/>
                <w:i/>
                <w:iCs/>
                <w:sz w:val="20"/>
                <w:szCs w:val="20"/>
              </w:rPr>
              <w:t xml:space="preserve"> Scetticismo professionale</w:t>
            </w:r>
          </w:p>
        </w:tc>
      </w:tr>
    </w:tbl>
    <w:p w14:paraId="3805FF99" w14:textId="77777777" w:rsidR="0096062D" w:rsidRPr="00B15171" w:rsidRDefault="0096062D" w:rsidP="00B15171">
      <w:pPr>
        <w:spacing w:after="200" w:line="360" w:lineRule="auto"/>
        <w:jc w:val="both"/>
        <w:rPr>
          <w:rFonts w:ascii="Tahoma" w:hAnsi="Tahoma" w:cs="Tahoma"/>
          <w:sz w:val="20"/>
          <w:szCs w:val="20"/>
        </w:rPr>
      </w:pPr>
    </w:p>
    <w:p w14:paraId="70D54BF5" w14:textId="241CFD9A"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Il revisore deve acquisire elementi probativi appropriati e sufficienti per stabilire se esista o meno una incertezza significativa, così come già definita, mediante procedure di revisione aggiuntive, che devono includere:</w:t>
      </w:r>
    </w:p>
    <w:p w14:paraId="41CFE353" w14:textId="300CE36A"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la richiesta alla direzione di effettuare una valutazione in merito alla capacità dell’impresa di continuare ad operare come un’entità in funzionamento, laddove la direzione non vi abbia già provveduto; </w:t>
      </w:r>
    </w:p>
    <w:p w14:paraId="5F50C197" w14:textId="195FCDBF"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la valutazione dei piani d’azione futuri della direzione connessi alla sua valutazione della continuità aziendale, </w:t>
      </w:r>
      <w:r w:rsidR="002E653F" w:rsidRPr="00312A65">
        <w:rPr>
          <w:rFonts w:ascii="Tahoma" w:hAnsi="Tahoma" w:cs="Tahoma"/>
          <w:sz w:val="20"/>
          <w:szCs w:val="20"/>
        </w:rPr>
        <w:t>n</w:t>
      </w:r>
      <w:r w:rsidRPr="00312A65">
        <w:rPr>
          <w:rFonts w:ascii="Tahoma" w:hAnsi="Tahoma" w:cs="Tahoma"/>
          <w:sz w:val="20"/>
          <w:szCs w:val="20"/>
        </w:rPr>
        <w:t>ella misura in cui la realizzazione di tali piani possa migliorare la situazione e se tali piani siano attuabili nelle specifiche circostanze (ed anche questa previsione richiama immedia</w:t>
      </w:r>
      <w:r w:rsidR="00902DE0" w:rsidRPr="00312A65">
        <w:rPr>
          <w:rFonts w:ascii="Tahoma" w:hAnsi="Tahoma" w:cs="Tahoma"/>
          <w:sz w:val="20"/>
          <w:szCs w:val="20"/>
        </w:rPr>
        <w:t>tamente la previsione del Princi</w:t>
      </w:r>
      <w:r w:rsidRPr="00312A65">
        <w:rPr>
          <w:rFonts w:ascii="Tahoma" w:hAnsi="Tahoma" w:cs="Tahoma"/>
          <w:sz w:val="20"/>
          <w:szCs w:val="20"/>
        </w:rPr>
        <w:t xml:space="preserve">pio contabile OIC 11, sulle informazioni da inserire in Nota integrativa); </w:t>
      </w:r>
    </w:p>
    <w:p w14:paraId="381FA0E9" w14:textId="32E17078"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se l’impresa ha predisposto una previsione dei flussi di cassa, occorre valutarne l’attendibilità e se le assunzioni su cui le previsioni siano appropriatamente supportate; </w:t>
      </w:r>
    </w:p>
    <w:p w14:paraId="306CE96E" w14:textId="77213DF9"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 xml:space="preserve">la considerazione se, successivamente alla data in cui la direzione ha effettuato la propria valutazione in merito alla capacità dell’impresa di continuare ad operare come un’entità in funzionamento, si siano resi disponibili ulteriori fatti o informazioni; </w:t>
      </w:r>
    </w:p>
    <w:p w14:paraId="12AECB05" w14:textId="55ECE9A8" w:rsidR="0096062D" w:rsidRPr="00312A65" w:rsidRDefault="0096062D">
      <w:pPr>
        <w:pStyle w:val="Paragrafoelenco"/>
        <w:numPr>
          <w:ilvl w:val="0"/>
          <w:numId w:val="14"/>
        </w:numPr>
        <w:spacing w:after="200" w:line="360" w:lineRule="auto"/>
        <w:jc w:val="both"/>
        <w:rPr>
          <w:rFonts w:ascii="Tahoma" w:hAnsi="Tahoma" w:cs="Tahoma"/>
          <w:sz w:val="20"/>
          <w:szCs w:val="20"/>
        </w:rPr>
      </w:pPr>
      <w:r w:rsidRPr="00312A65">
        <w:rPr>
          <w:rFonts w:ascii="Tahoma" w:hAnsi="Tahoma" w:cs="Tahoma"/>
          <w:sz w:val="20"/>
          <w:szCs w:val="20"/>
        </w:rPr>
        <w:t>la richiesta di attestazioni scritte alla direzione e, ove appropriato, al collegio sindacale, relative ai piani d’azione futuri ed alla loro fattibilità</w:t>
      </w:r>
    </w:p>
    <w:p w14:paraId="56AF3F67" w14:textId="10E89249"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L’attività di verifica del revisore, però, non rimane all’interno delle proprie carte di lavoro senza essere esplicitata</w:t>
      </w:r>
      <w:r w:rsidR="001A0C7B" w:rsidRPr="00B15171">
        <w:rPr>
          <w:rFonts w:ascii="Tahoma" w:hAnsi="Tahoma" w:cs="Tahoma"/>
          <w:sz w:val="20"/>
          <w:szCs w:val="20"/>
        </w:rPr>
        <w:t xml:space="preserve"> all’esterno</w:t>
      </w:r>
      <w:r w:rsidRPr="00B15171">
        <w:rPr>
          <w:rFonts w:ascii="Tahoma" w:hAnsi="Tahoma" w:cs="Tahoma"/>
          <w:sz w:val="20"/>
          <w:szCs w:val="20"/>
        </w:rPr>
        <w:t>.</w:t>
      </w:r>
    </w:p>
    <w:p w14:paraId="1C20424A" w14:textId="77777777"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In sede di riforma al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39/2010, il </w:t>
      </w:r>
      <w:proofErr w:type="spellStart"/>
      <w:r w:rsidRPr="00B15171">
        <w:rPr>
          <w:rFonts w:ascii="Tahoma" w:hAnsi="Tahoma" w:cs="Tahoma"/>
          <w:sz w:val="20"/>
          <w:szCs w:val="20"/>
        </w:rPr>
        <w:t>D.Lgs.</w:t>
      </w:r>
      <w:proofErr w:type="spellEnd"/>
      <w:r w:rsidRPr="00B15171">
        <w:rPr>
          <w:rFonts w:ascii="Tahoma" w:hAnsi="Tahoma" w:cs="Tahoma"/>
          <w:sz w:val="20"/>
          <w:szCs w:val="20"/>
        </w:rPr>
        <w:t xml:space="preserve"> 135/2016 ha riformato la relazione di revisione, inserendo un paragrafo decisivo al secondo comma, lettera f) dell’articolo 14.</w:t>
      </w:r>
    </w:p>
    <w:p w14:paraId="1C9BCBA1" w14:textId="77777777" w:rsidR="0096062D" w:rsidRPr="00B15171" w:rsidRDefault="0096062D" w:rsidP="00B15171">
      <w:pPr>
        <w:spacing w:after="200" w:line="360" w:lineRule="auto"/>
        <w:jc w:val="both"/>
        <w:rPr>
          <w:rFonts w:ascii="Tahoma" w:hAnsi="Tahoma" w:cs="Tahoma"/>
          <w:b/>
          <w:sz w:val="20"/>
          <w:szCs w:val="20"/>
        </w:rPr>
      </w:pPr>
      <w:r w:rsidRPr="00B15171">
        <w:rPr>
          <w:rFonts w:ascii="Tahoma" w:hAnsi="Tahoma" w:cs="Tahoma"/>
          <w:sz w:val="20"/>
          <w:szCs w:val="20"/>
        </w:rPr>
        <w:t>Infatti nella relazione di revisione il revisore deve inserire “</w:t>
      </w:r>
      <w:r w:rsidRPr="00B15171">
        <w:rPr>
          <w:rFonts w:ascii="Tahoma" w:hAnsi="Tahoma" w:cs="Tahoma"/>
          <w:b/>
          <w:sz w:val="20"/>
          <w:szCs w:val="20"/>
        </w:rPr>
        <w:t>una dichiarazione su eventuali incertezze significative relative a eventi o a circostanze che potrebbero sollevare dubbi significativi sulla capacità della società sottoposta a revisione di mantenere la continuità aziendale”.</w:t>
      </w:r>
    </w:p>
    <w:p w14:paraId="1FDFA28D" w14:textId="5E68A72A"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Quindi al legislatore non basta più che il revisore esegua una verifica che solo in rari casi poi si esita in una specifica indicazione descrittiva in relazione, ma </w:t>
      </w:r>
      <w:r w:rsidRPr="00B15171">
        <w:rPr>
          <w:rFonts w:ascii="Tahoma" w:hAnsi="Tahoma" w:cs="Tahoma"/>
          <w:sz w:val="20"/>
          <w:szCs w:val="20"/>
          <w:u w:val="single"/>
        </w:rPr>
        <w:t>pretende</w:t>
      </w:r>
      <w:r w:rsidRPr="00B15171">
        <w:rPr>
          <w:rFonts w:ascii="Tahoma" w:hAnsi="Tahoma" w:cs="Tahoma"/>
          <w:sz w:val="20"/>
          <w:szCs w:val="20"/>
        </w:rPr>
        <w:t xml:space="preserve"> che il revisore palesi, all’interno della sua relazione, la presenza di ev</w:t>
      </w:r>
      <w:r w:rsidR="00902DE0" w:rsidRPr="00B15171">
        <w:rPr>
          <w:rFonts w:ascii="Tahoma" w:hAnsi="Tahoma" w:cs="Tahoma"/>
          <w:sz w:val="20"/>
          <w:szCs w:val="20"/>
        </w:rPr>
        <w:t>entuali incertezze significative</w:t>
      </w:r>
      <w:r w:rsidRPr="00B15171">
        <w:rPr>
          <w:rFonts w:ascii="Tahoma" w:hAnsi="Tahoma" w:cs="Tahoma"/>
          <w:sz w:val="20"/>
          <w:szCs w:val="20"/>
        </w:rPr>
        <w:t xml:space="preserve">, così da consentire una compiuta consapevolezza sulle criticità della società da parte </w:t>
      </w:r>
      <w:r w:rsidR="002E653F" w:rsidRPr="00B15171">
        <w:rPr>
          <w:rFonts w:ascii="Tahoma" w:hAnsi="Tahoma" w:cs="Tahoma"/>
          <w:sz w:val="20"/>
          <w:szCs w:val="20"/>
        </w:rPr>
        <w:t xml:space="preserve">degli </w:t>
      </w:r>
      <w:r w:rsidRPr="00B15171">
        <w:rPr>
          <w:rFonts w:ascii="Tahoma" w:hAnsi="Tahoma" w:cs="Tahoma"/>
          <w:sz w:val="20"/>
          <w:szCs w:val="20"/>
        </w:rPr>
        <w:t>utilizzator</w:t>
      </w:r>
      <w:r w:rsidR="002E653F" w:rsidRPr="00B15171">
        <w:rPr>
          <w:rFonts w:ascii="Tahoma" w:hAnsi="Tahoma" w:cs="Tahoma"/>
          <w:sz w:val="20"/>
          <w:szCs w:val="20"/>
        </w:rPr>
        <w:t>i</w:t>
      </w:r>
      <w:r w:rsidRPr="00B15171">
        <w:rPr>
          <w:rFonts w:ascii="Tahoma" w:hAnsi="Tahoma" w:cs="Tahoma"/>
          <w:sz w:val="20"/>
          <w:szCs w:val="20"/>
        </w:rPr>
        <w:t xml:space="preserve"> del bilancio.</w:t>
      </w:r>
    </w:p>
    <w:p w14:paraId="66FE9791" w14:textId="77777777" w:rsidR="00C5126C"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 xml:space="preserve">La norma trae origine dalla circostanza che spesso a bilanci formalmente ineccepibili, ma avari di informazioni sulla continuità aziendale, sui quali il revisore esprimeva un giudizio senza modifica, seguisse poi, in tempi abbastanza brevi, quello che poteva </w:t>
      </w:r>
      <w:r w:rsidR="00C5126C" w:rsidRPr="00B15171">
        <w:rPr>
          <w:rFonts w:ascii="Tahoma" w:hAnsi="Tahoma" w:cs="Tahoma"/>
          <w:sz w:val="20"/>
          <w:szCs w:val="20"/>
        </w:rPr>
        <w:t>sembrare</w:t>
      </w:r>
      <w:r w:rsidRPr="00B15171">
        <w:rPr>
          <w:rFonts w:ascii="Tahoma" w:hAnsi="Tahoma" w:cs="Tahoma"/>
          <w:sz w:val="20"/>
          <w:szCs w:val="20"/>
        </w:rPr>
        <w:t xml:space="preserve"> un imprevedibile </w:t>
      </w:r>
      <w:r w:rsidRPr="00B15171">
        <w:rPr>
          <w:rFonts w:ascii="Tahoma" w:hAnsi="Tahoma" w:cs="Tahoma"/>
          <w:i/>
          <w:sz w:val="20"/>
          <w:szCs w:val="20"/>
        </w:rPr>
        <w:t>default</w:t>
      </w:r>
      <w:r w:rsidRPr="00B15171">
        <w:rPr>
          <w:rFonts w:ascii="Tahoma" w:hAnsi="Tahoma" w:cs="Tahoma"/>
          <w:sz w:val="20"/>
          <w:szCs w:val="20"/>
        </w:rPr>
        <w:t xml:space="preserve">. </w:t>
      </w:r>
    </w:p>
    <w:p w14:paraId="7E5E5510" w14:textId="21CB18D1" w:rsidR="0096062D" w:rsidRPr="00B15171" w:rsidRDefault="0096062D" w:rsidP="00B15171">
      <w:pPr>
        <w:spacing w:after="200" w:line="360" w:lineRule="auto"/>
        <w:jc w:val="both"/>
        <w:rPr>
          <w:rFonts w:ascii="Tahoma" w:hAnsi="Tahoma" w:cs="Tahoma"/>
          <w:sz w:val="20"/>
          <w:szCs w:val="20"/>
        </w:rPr>
      </w:pPr>
      <w:r w:rsidRPr="00B15171">
        <w:rPr>
          <w:rFonts w:ascii="Tahoma" w:hAnsi="Tahoma" w:cs="Tahoma"/>
          <w:sz w:val="20"/>
          <w:szCs w:val="20"/>
          <w:u w:val="single"/>
        </w:rPr>
        <w:t>Il legislatore ha quindi ritenuto necessario che il lettore del bilancio disponesse delle informazioni complete e ha obbligato il revisore ad una assunzione esplicita di responsabilità</w:t>
      </w:r>
      <w:r w:rsidRPr="00B15171">
        <w:rPr>
          <w:rFonts w:ascii="Tahoma" w:hAnsi="Tahoma" w:cs="Tahoma"/>
          <w:sz w:val="20"/>
          <w:szCs w:val="20"/>
        </w:rPr>
        <w:t>.</w:t>
      </w:r>
    </w:p>
    <w:p w14:paraId="7F0BA819" w14:textId="7CCCAD71" w:rsidR="0096062D" w:rsidRDefault="0096062D" w:rsidP="00B15171">
      <w:pPr>
        <w:spacing w:after="200" w:line="360" w:lineRule="auto"/>
        <w:jc w:val="both"/>
        <w:rPr>
          <w:rFonts w:ascii="Tahoma" w:hAnsi="Tahoma" w:cs="Tahoma"/>
          <w:sz w:val="20"/>
          <w:szCs w:val="20"/>
        </w:rPr>
      </w:pPr>
      <w:r w:rsidRPr="00B15171">
        <w:rPr>
          <w:rFonts w:ascii="Tahoma" w:hAnsi="Tahoma" w:cs="Tahoma"/>
          <w:sz w:val="20"/>
          <w:szCs w:val="20"/>
        </w:rPr>
        <w:t>In generale, l’attività del revisore in merito alla questione della continuità, può avere, secondo il principio ISA 570, cinque possibili esiti:</w:t>
      </w:r>
    </w:p>
    <w:tbl>
      <w:tblPr>
        <w:tblStyle w:val="Grigliatabella"/>
        <w:tblW w:w="0" w:type="auto"/>
        <w:tblLook w:val="04A0" w:firstRow="1" w:lastRow="0" w:firstColumn="1" w:lastColumn="0" w:noHBand="0" w:noVBand="1"/>
      </w:tblPr>
      <w:tblGrid>
        <w:gridCol w:w="9628"/>
      </w:tblGrid>
      <w:tr w:rsidR="00A51657" w14:paraId="132F5D06" w14:textId="77777777" w:rsidTr="003B5138">
        <w:tc>
          <w:tcPr>
            <w:tcW w:w="9628" w:type="dxa"/>
          </w:tcPr>
          <w:p w14:paraId="64B8113B" w14:textId="77777777" w:rsidR="00A51657" w:rsidRPr="00A51657" w:rsidRDefault="00A51657" w:rsidP="00A51657">
            <w:pPr>
              <w:spacing w:before="60" w:after="60" w:line="326" w:lineRule="auto"/>
              <w:jc w:val="both"/>
              <w:rPr>
                <w:rFonts w:ascii="Tahoma" w:hAnsi="Tahoma" w:cs="Tahoma"/>
                <w:b/>
                <w:bCs/>
                <w:sz w:val="20"/>
                <w:szCs w:val="20"/>
              </w:rPr>
            </w:pPr>
            <w:r w:rsidRPr="00A51657">
              <w:rPr>
                <w:rFonts w:ascii="Tahoma" w:hAnsi="Tahoma" w:cs="Tahoma"/>
                <w:b/>
                <w:bCs/>
                <w:sz w:val="20"/>
                <w:szCs w:val="20"/>
              </w:rPr>
              <w:lastRenderedPageBreak/>
              <w:t>Ipotesi I – valutazione sulla continuità corretta e senza incertezze</w:t>
            </w:r>
          </w:p>
          <w:p w14:paraId="0479F02F" w14:textId="72797A51"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 xml:space="preserve">La valutazione degli amministratori in merito alla continuità è corretta e non vi sono incertezze significative su di essa </w:t>
            </w:r>
            <w:r w:rsidRPr="00A51657">
              <w:rPr>
                <w:rFonts w:ascii="Tahoma" w:hAnsi="Tahoma" w:cs="Tahoma"/>
                <w:i/>
                <w:iCs/>
                <w:sz w:val="20"/>
                <w:szCs w:val="20"/>
              </w:rPr>
              <w:sym w:font="Wingdings" w:char="F0E0"/>
            </w:r>
            <w:r w:rsidRPr="00A51657">
              <w:rPr>
                <w:rFonts w:ascii="Tahoma" w:hAnsi="Tahoma" w:cs="Tahoma"/>
                <w:i/>
                <w:iCs/>
                <w:sz w:val="20"/>
                <w:szCs w:val="20"/>
              </w:rPr>
              <w:t xml:space="preserve"> </w:t>
            </w:r>
            <w:r w:rsidRPr="00A51657">
              <w:rPr>
                <w:rFonts w:ascii="Tahoma" w:hAnsi="Tahoma" w:cs="Tahoma"/>
                <w:i/>
                <w:iCs/>
                <w:sz w:val="20"/>
                <w:szCs w:val="20"/>
                <w:u w:val="single"/>
              </w:rPr>
              <w:t>giudizio del revisore senza modifica</w:t>
            </w:r>
            <w:r w:rsidRPr="00A51657">
              <w:rPr>
                <w:rFonts w:ascii="Tahoma" w:hAnsi="Tahoma" w:cs="Tahoma"/>
                <w:i/>
                <w:iCs/>
                <w:sz w:val="20"/>
                <w:szCs w:val="20"/>
              </w:rPr>
              <w:t xml:space="preserve"> (se non vi sono altre circostanze rilevanti)</w:t>
            </w:r>
          </w:p>
          <w:p w14:paraId="54FFF631"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Il paragrafo ai sensi dell’art. 14, secondo comma, lettera f) può essere il seguente:</w:t>
            </w:r>
          </w:p>
          <w:p w14:paraId="07CE5F6C" w14:textId="7A949BB3"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In ossequio all’art. 14, secondo comma, lettera f) del D. Lgs. 39/2010, evidenzio come non sussistano incertezze significative relative a eventi o a circostanze che potrebbero sollevare dubbi significativi sulla capacità della società sottoposta a revisione di mantenere la continuità aziendale.</w:t>
            </w:r>
          </w:p>
        </w:tc>
      </w:tr>
    </w:tbl>
    <w:p w14:paraId="437B83CA" w14:textId="77777777" w:rsidR="00A51657" w:rsidRDefault="00A51657"/>
    <w:tbl>
      <w:tblPr>
        <w:tblStyle w:val="Grigliatabella"/>
        <w:tblW w:w="0" w:type="auto"/>
        <w:tblLook w:val="04A0" w:firstRow="1" w:lastRow="0" w:firstColumn="1" w:lastColumn="0" w:noHBand="0" w:noVBand="1"/>
      </w:tblPr>
      <w:tblGrid>
        <w:gridCol w:w="9628"/>
      </w:tblGrid>
      <w:tr w:rsidR="00A51657" w14:paraId="2F276190" w14:textId="77777777" w:rsidTr="003B5138">
        <w:tc>
          <w:tcPr>
            <w:tcW w:w="9628" w:type="dxa"/>
          </w:tcPr>
          <w:p w14:paraId="6BAD8702" w14:textId="77777777" w:rsidR="00A51657" w:rsidRPr="00A51657" w:rsidRDefault="00A51657" w:rsidP="00A51657">
            <w:pPr>
              <w:spacing w:before="60" w:after="60" w:line="326" w:lineRule="auto"/>
              <w:jc w:val="both"/>
              <w:rPr>
                <w:rFonts w:ascii="Tahoma" w:hAnsi="Tahoma" w:cs="Tahoma"/>
                <w:b/>
                <w:bCs/>
                <w:sz w:val="20"/>
                <w:szCs w:val="20"/>
              </w:rPr>
            </w:pPr>
            <w:r w:rsidRPr="00A51657">
              <w:rPr>
                <w:rFonts w:ascii="Tahoma" w:hAnsi="Tahoma" w:cs="Tahoma"/>
                <w:b/>
                <w:bCs/>
                <w:sz w:val="20"/>
                <w:szCs w:val="20"/>
              </w:rPr>
              <w:t>Ipotesi II – valutazione sulla continuità errata</w:t>
            </w:r>
          </w:p>
          <w:p w14:paraId="7B213CA7"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La valutazione degli amministratori in merito alla continuità è errata; gli amministratori ritengono che vi sia continuità e quindi le valutazioni di bilancio sono state eseguite nel presupposto della continuità aziendale.</w:t>
            </w:r>
          </w:p>
          <w:p w14:paraId="4520C648" w14:textId="1F3B2405" w:rsidR="00A51657" w:rsidRPr="00A51657" w:rsidRDefault="00A51657" w:rsidP="00A51657">
            <w:pPr>
              <w:spacing w:before="60" w:after="60" w:line="326" w:lineRule="auto"/>
              <w:jc w:val="both"/>
              <w:rPr>
                <w:rFonts w:ascii="Tahoma" w:hAnsi="Tahoma" w:cs="Tahoma"/>
                <w:sz w:val="20"/>
                <w:szCs w:val="20"/>
                <w:u w:val="single"/>
              </w:rPr>
            </w:pPr>
            <w:r w:rsidRPr="00A51657">
              <w:rPr>
                <w:rFonts w:ascii="Tahoma" w:hAnsi="Tahoma" w:cs="Tahoma"/>
                <w:sz w:val="20"/>
                <w:szCs w:val="20"/>
                <w:u w:val="single"/>
              </w:rPr>
              <w:t xml:space="preserve">I revisori concludono ritenendo che la continuità non sussista </w:t>
            </w:r>
            <w:r w:rsidRPr="00B15171">
              <w:rPr>
                <w:rFonts w:ascii="Tahoma" w:hAnsi="Tahoma" w:cs="Tahoma"/>
                <w:i/>
                <w:sz w:val="20"/>
                <w:szCs w:val="20"/>
              </w:rPr>
              <w:sym w:font="Wingdings" w:char="F0E0"/>
            </w:r>
            <w:r w:rsidRPr="00A51657">
              <w:rPr>
                <w:rFonts w:ascii="Tahoma" w:hAnsi="Tahoma" w:cs="Tahoma"/>
                <w:sz w:val="20"/>
                <w:szCs w:val="20"/>
                <w:u w:val="single"/>
              </w:rPr>
              <w:t xml:space="preserve"> giudizio negativo.</w:t>
            </w:r>
          </w:p>
          <w:p w14:paraId="15639C7D"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È evidente che se il bilancio è stato redatto utilizzando il presupposto della continuità aziendale e il revisore ritiene che la continuità non sussista, il bilancio presenterà, ad avviso del revisore, errori pervasivi, errori cioè che non si limitano ad una sola voce di bilancio, ma lo minano dalle fondamenta.</w:t>
            </w:r>
          </w:p>
          <w:p w14:paraId="29772334"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Se non sussiste continuità aziendale, come specificato anche dall’OIC 11, le valutazioni di bilancio, in merito ad esempio agli ammortamenti o alla recuperabilità delle imposte anticipate, devono tenere conto del periodo breve o brevissimo di residua continuità aziendale.</w:t>
            </w:r>
          </w:p>
          <w:p w14:paraId="5A8E59C8"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Occorre considerare che se il bilancio va redatto da subito con applicazione dei principi di liquidazione, occorre ricorrere alle previsioni del Principio contabile OIC 5, che prevede regole assolutamente peculiari.</w:t>
            </w:r>
          </w:p>
          <w:p w14:paraId="221729F8"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Una per tutte, l’iscrizione tra i Fondi rischi, di un “Fondo per costi ed oneri di liquidazione” che accoglie tutti i costi e tutti gli oneri che la società ritiene di sostenere ed i proventi che prevede di ricavare, dall’inizio alla fine della liquidazione, con una chiara deroga al principio della competenza. Peraltro, al momento della prima iscrizione in bilancio, la contropartita di tale fondo non è un accantonamento in conto economico, ma una voce del Patrimonio netto (di liquidazione), denominata “Rettifiche di liquidazione”.</w:t>
            </w:r>
          </w:p>
          <w:p w14:paraId="6DB1E08A"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Esempi di giudizio negativo e dei paragrafi collegati (Elementi alla base del giudizio negativo e paragrafo ex art. 14, secondo comma, lettera f)</w:t>
            </w:r>
          </w:p>
          <w:p w14:paraId="5BFFF8FB" w14:textId="77777777" w:rsidR="00A51657" w:rsidRPr="00A51657" w:rsidRDefault="00A51657" w:rsidP="00A51657">
            <w:pPr>
              <w:spacing w:before="60" w:after="60" w:line="326" w:lineRule="auto"/>
              <w:jc w:val="both"/>
              <w:rPr>
                <w:rFonts w:ascii="Tahoma" w:hAnsi="Tahoma" w:cs="Tahoma"/>
                <w:sz w:val="20"/>
                <w:szCs w:val="20"/>
              </w:rPr>
            </w:pPr>
          </w:p>
          <w:p w14:paraId="05FF8FED"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Giudizio negativo:</w:t>
            </w:r>
          </w:p>
          <w:p w14:paraId="3841294D"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[Ho][Abbiamo] svolto la revisione contabile del bilancio d’esercizio della Società ____________ (la Società) costituito dallo stato patrimoniale al ___________, dal conto economico, dal rendiconto finanziario per l’esercizio chiuso a tale data e dalla nota integrativa. </w:t>
            </w:r>
          </w:p>
          <w:p w14:paraId="36DA3D46"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A [mio][nostro] giudizio, il bilancio d’esercizio non fornisce una rappresentazione veritiera e corretta della situazione patrimoniale e finanziaria della Società al ____________, del risultato economico e dei flussi di cassa per l’esercizio chiuso a tale data in conformità alle norme italiane che ne disciplinano i criteri di redazione. </w:t>
            </w:r>
          </w:p>
          <w:p w14:paraId="6D6D7926"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Elementi alla base del giudizio negativo</w:t>
            </w:r>
          </w:p>
          <w:p w14:paraId="1BCD9507"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lastRenderedPageBreak/>
              <w:t xml:space="preserve">Ho svolto la revisione contabile in conformità ai principi di revisione internazionali (ISA Italia). Le mie responsabilità ai sensi di tali principi sono ulteriormente descritte nella sezione </w:t>
            </w:r>
            <w:r w:rsidRPr="00A51657">
              <w:rPr>
                <w:rFonts w:ascii="Tahoma" w:hAnsi="Tahoma" w:cs="Tahoma"/>
                <w:i/>
                <w:iCs/>
                <w:sz w:val="20"/>
                <w:szCs w:val="20"/>
              </w:rPr>
              <w:t>Responsabilità del revisore per la revisione contabile del bilancio d’esercizio</w:t>
            </w:r>
            <w:r w:rsidRPr="00A51657">
              <w:rPr>
                <w:rFonts w:ascii="Tahoma" w:hAnsi="Tahoma" w:cs="Tahoma"/>
                <w:sz w:val="20"/>
                <w:szCs w:val="20"/>
              </w:rPr>
              <w:t xml:space="preserve"> della presente relazione. </w:t>
            </w:r>
          </w:p>
          <w:p w14:paraId="38DAE883" w14:textId="4D8B1D7D"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Sono indipendente rispetto alla Società in conformità alle norme e ai principi in materia di etica e di indipendenza applicabili nell’ordinamento italiano alla revisione contabile del bilancio, tra </w:t>
            </w:r>
            <w:r w:rsidR="006E0ED6" w:rsidRPr="00F7239E">
              <w:rPr>
                <w:rFonts w:ascii="Tahoma" w:hAnsi="Tahoma" w:cs="Tahoma"/>
                <w:sz w:val="20"/>
                <w:szCs w:val="20"/>
              </w:rPr>
              <w:t>il Codice Italiano di Etica ed Indipendenza, approvato con determina del Ragioniere generale dello Stato prot. n. RR 127 del 23 marzo 2023</w:t>
            </w:r>
            <w:r w:rsidRPr="00A51657">
              <w:rPr>
                <w:rFonts w:ascii="Tahoma" w:hAnsi="Tahoma" w:cs="Tahoma"/>
                <w:sz w:val="20"/>
                <w:szCs w:val="20"/>
              </w:rPr>
              <w:t xml:space="preserve">. </w:t>
            </w:r>
          </w:p>
          <w:p w14:paraId="4116C18E"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Ritengo di aver acquisito elementi probativi sufficienti ed appropriati su cui basare il mio giudizio negativo </w:t>
            </w:r>
          </w:p>
          <w:p w14:paraId="210C47DE"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La società ha predisposto il bilancio di esercizio utilizzando il presupposto della continuità aziendale. A mio giudizio l’utilizzo del presupposto della continuità aziendale è inappropriato in ragione delle seguenti circostanze: _________________________________________________</w:t>
            </w:r>
          </w:p>
          <w:p w14:paraId="6F2DDCF9"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 xml:space="preserve">Paragrafo ai sensi dell’art. 14, secondo comma, lettera f) del </w:t>
            </w:r>
            <w:proofErr w:type="spellStart"/>
            <w:r w:rsidRPr="00A51657">
              <w:rPr>
                <w:rFonts w:ascii="Tahoma" w:hAnsi="Tahoma" w:cs="Tahoma"/>
                <w:i/>
                <w:iCs/>
                <w:sz w:val="20"/>
                <w:szCs w:val="20"/>
              </w:rPr>
              <w:t>D.Lgs.</w:t>
            </w:r>
            <w:proofErr w:type="spellEnd"/>
            <w:r w:rsidRPr="00A51657">
              <w:rPr>
                <w:rFonts w:ascii="Tahoma" w:hAnsi="Tahoma" w:cs="Tahoma"/>
                <w:i/>
                <w:iCs/>
                <w:sz w:val="20"/>
                <w:szCs w:val="20"/>
              </w:rPr>
              <w:t xml:space="preserve"> 39/2010</w:t>
            </w:r>
          </w:p>
          <w:p w14:paraId="245D6CE5" w14:textId="4D8327AE" w:rsid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Mi riporto a quanto indicato nella sezione “Elementi alla base del giudizio negativo” per quel che concerne l’incertezza significativa relativa alla continuità aziendale</w:t>
            </w:r>
          </w:p>
        </w:tc>
      </w:tr>
    </w:tbl>
    <w:p w14:paraId="34CAB113" w14:textId="77777777" w:rsidR="0096062D" w:rsidRDefault="0096062D" w:rsidP="00B15171">
      <w:pPr>
        <w:spacing w:after="200" w:line="360" w:lineRule="auto"/>
        <w:jc w:val="both"/>
        <w:rPr>
          <w:rFonts w:ascii="Tahoma" w:hAnsi="Tahoma" w:cs="Tahoma"/>
          <w:i/>
          <w:sz w:val="20"/>
          <w:szCs w:val="20"/>
        </w:rPr>
      </w:pPr>
    </w:p>
    <w:tbl>
      <w:tblPr>
        <w:tblStyle w:val="Grigliatabella"/>
        <w:tblW w:w="0" w:type="auto"/>
        <w:tblLook w:val="04A0" w:firstRow="1" w:lastRow="0" w:firstColumn="1" w:lastColumn="0" w:noHBand="0" w:noVBand="1"/>
      </w:tblPr>
      <w:tblGrid>
        <w:gridCol w:w="9628"/>
      </w:tblGrid>
      <w:tr w:rsidR="00A51657" w14:paraId="1012E87B" w14:textId="77777777" w:rsidTr="003B5138">
        <w:tc>
          <w:tcPr>
            <w:tcW w:w="9628" w:type="dxa"/>
          </w:tcPr>
          <w:p w14:paraId="63F48C9E" w14:textId="77777777" w:rsidR="00A51657" w:rsidRPr="00A51657" w:rsidRDefault="00A51657" w:rsidP="00A51657">
            <w:pPr>
              <w:spacing w:before="60" w:after="60" w:line="326" w:lineRule="auto"/>
              <w:jc w:val="both"/>
              <w:rPr>
                <w:rFonts w:ascii="Tahoma" w:hAnsi="Tahoma" w:cs="Tahoma"/>
                <w:b/>
                <w:bCs/>
                <w:sz w:val="20"/>
                <w:szCs w:val="20"/>
              </w:rPr>
            </w:pPr>
            <w:r w:rsidRPr="00A51657">
              <w:rPr>
                <w:rFonts w:ascii="Tahoma" w:hAnsi="Tahoma" w:cs="Tahoma"/>
                <w:b/>
                <w:bCs/>
                <w:sz w:val="20"/>
                <w:szCs w:val="20"/>
              </w:rPr>
              <w:t>Ipotesi III – valutazione corretta, incertezze significative, ma adeguata informativa</w:t>
            </w:r>
          </w:p>
          <w:p w14:paraId="37C3767F" w14:textId="76D3BDA5"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 xml:space="preserve">La valutazione operata dagli amministratori sulla continuità è corretta, ma sussistono incertezze significative. L’informativa data dagli amministratori è adeguata </w:t>
            </w:r>
            <w:r w:rsidRPr="00B15171">
              <w:rPr>
                <w:rFonts w:ascii="Tahoma" w:hAnsi="Tahoma" w:cs="Tahoma"/>
                <w:i/>
                <w:sz w:val="20"/>
                <w:szCs w:val="20"/>
              </w:rPr>
              <w:sym w:font="Wingdings" w:char="F0E0"/>
            </w:r>
            <w:r w:rsidRPr="00A51657">
              <w:rPr>
                <w:rFonts w:ascii="Tahoma" w:hAnsi="Tahoma" w:cs="Tahoma"/>
                <w:i/>
                <w:iCs/>
                <w:sz w:val="20"/>
                <w:szCs w:val="20"/>
              </w:rPr>
              <w:t xml:space="preserve"> </w:t>
            </w:r>
            <w:r w:rsidRPr="00A51657">
              <w:rPr>
                <w:rFonts w:ascii="Tahoma" w:hAnsi="Tahoma" w:cs="Tahoma"/>
                <w:i/>
                <w:iCs/>
                <w:sz w:val="20"/>
                <w:szCs w:val="20"/>
                <w:u w:val="single"/>
              </w:rPr>
              <w:t>giudizio senza modifica, ma richiamo di informativa</w:t>
            </w:r>
          </w:p>
          <w:p w14:paraId="60A5AB98" w14:textId="77777777" w:rsid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Richiamo di informativa - Incertezza significativa relativa alla continuità aziendale</w:t>
            </w:r>
          </w:p>
          <w:p w14:paraId="317947A5" w14:textId="77777777" w:rsidR="00A51657" w:rsidRPr="00A51657" w:rsidRDefault="00A51657" w:rsidP="00A51657">
            <w:pPr>
              <w:spacing w:before="60" w:after="60" w:line="326" w:lineRule="auto"/>
              <w:jc w:val="both"/>
              <w:rPr>
                <w:rFonts w:ascii="Tahoma" w:hAnsi="Tahoma" w:cs="Tahoma"/>
                <w:i/>
                <w:iCs/>
                <w:sz w:val="20"/>
                <w:szCs w:val="20"/>
              </w:rPr>
            </w:pPr>
          </w:p>
          <w:p w14:paraId="4EB4CEAB"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Anche ai sensi dell’art. 14, comma 2, lettera f) del </w:t>
            </w:r>
            <w:proofErr w:type="spellStart"/>
            <w:r w:rsidRPr="00A51657">
              <w:rPr>
                <w:rFonts w:ascii="Tahoma" w:hAnsi="Tahoma" w:cs="Tahoma"/>
                <w:sz w:val="20"/>
                <w:szCs w:val="20"/>
              </w:rPr>
              <w:t>D.Lgs.</w:t>
            </w:r>
            <w:proofErr w:type="spellEnd"/>
            <w:r w:rsidRPr="00A51657">
              <w:rPr>
                <w:rFonts w:ascii="Tahoma" w:hAnsi="Tahoma" w:cs="Tahoma"/>
                <w:sz w:val="20"/>
                <w:szCs w:val="20"/>
              </w:rPr>
              <w:t xml:space="preserve"> 39/2010, richiamo l’attenzione in merito alla circostanza descritta nel bilancio nel paragrafo intestato “Continuità aziendale” in connessione alla sussistenza di un’incertezza significativa che può far sorgere dubbi significativi sulla capacità dell’impresa di continuare ad operare come un’entità in funzionamento, in conseguenza dei seguenti eventi e delle seguenti circostanze: [inserire gli eventi e le circostanze]; </w:t>
            </w:r>
          </w:p>
          <w:p w14:paraId="096957E8"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Tali eventi e tali circostanze indicano l'esistenza di un'incertezza significativa che può far sorgere dubbi significativi sulla capacità dell’impresa di continuare ad operare come un’entità in funzionamento. Sussistono comunque piani della direzione che ___________________.</w:t>
            </w:r>
          </w:p>
          <w:p w14:paraId="24EF6C1A" w14:textId="295E1455" w:rsid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In bilancio viene data comunque un’informativa adeguata in merito a detta incertezza significativa e quindi il giudizio espresso è un giudizio senza modifica</w:t>
            </w:r>
          </w:p>
        </w:tc>
      </w:tr>
    </w:tbl>
    <w:p w14:paraId="00F1B967" w14:textId="77777777" w:rsidR="0096062D" w:rsidRDefault="0096062D" w:rsidP="00B15171">
      <w:pPr>
        <w:spacing w:after="200" w:line="360" w:lineRule="auto"/>
        <w:jc w:val="both"/>
        <w:rPr>
          <w:rFonts w:ascii="Tahoma" w:hAnsi="Tahoma" w:cs="Tahoma"/>
          <w:sz w:val="20"/>
          <w:szCs w:val="20"/>
        </w:rPr>
      </w:pPr>
    </w:p>
    <w:tbl>
      <w:tblPr>
        <w:tblStyle w:val="Grigliatabella"/>
        <w:tblW w:w="0" w:type="auto"/>
        <w:tblLook w:val="04A0" w:firstRow="1" w:lastRow="0" w:firstColumn="1" w:lastColumn="0" w:noHBand="0" w:noVBand="1"/>
      </w:tblPr>
      <w:tblGrid>
        <w:gridCol w:w="9628"/>
      </w:tblGrid>
      <w:tr w:rsidR="00A51657" w14:paraId="609D5BC2" w14:textId="77777777" w:rsidTr="003B5138">
        <w:tc>
          <w:tcPr>
            <w:tcW w:w="9628" w:type="dxa"/>
          </w:tcPr>
          <w:p w14:paraId="4D119919" w14:textId="6695EDCB" w:rsidR="00F7239E" w:rsidRPr="00F7239E" w:rsidRDefault="00F7239E" w:rsidP="00F7239E">
            <w:pPr>
              <w:spacing w:before="60" w:after="60" w:line="326" w:lineRule="auto"/>
              <w:jc w:val="both"/>
              <w:rPr>
                <w:rFonts w:ascii="Tahoma" w:hAnsi="Tahoma" w:cs="Tahoma"/>
                <w:b/>
                <w:bCs/>
                <w:sz w:val="20"/>
                <w:szCs w:val="20"/>
              </w:rPr>
            </w:pPr>
            <w:r w:rsidRPr="00F7239E">
              <w:rPr>
                <w:rFonts w:ascii="Tahoma" w:hAnsi="Tahoma" w:cs="Tahoma"/>
                <w:b/>
                <w:bCs/>
                <w:sz w:val="20"/>
                <w:szCs w:val="20"/>
              </w:rPr>
              <w:t>Ipotesi IV - valutazione corretta, incertezze significative, ma informativa NON adeguata</w:t>
            </w:r>
          </w:p>
          <w:p w14:paraId="372B2E26"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 xml:space="preserve">La valutazione operata dagli amministratori sulla continuità è corretta, ma sussistono incertezze significative. </w:t>
            </w:r>
          </w:p>
          <w:p w14:paraId="0E962806" w14:textId="4306CC36" w:rsidR="00F7239E" w:rsidRPr="00F7239E" w:rsidRDefault="00F7239E" w:rsidP="00F7239E">
            <w:pPr>
              <w:spacing w:before="60" w:after="60" w:line="326" w:lineRule="auto"/>
              <w:jc w:val="both"/>
              <w:rPr>
                <w:rFonts w:ascii="Tahoma" w:hAnsi="Tahoma" w:cs="Tahoma"/>
                <w:i/>
                <w:iCs/>
                <w:sz w:val="20"/>
                <w:szCs w:val="20"/>
                <w:u w:val="single"/>
              </w:rPr>
            </w:pPr>
            <w:r w:rsidRPr="00F7239E">
              <w:rPr>
                <w:rFonts w:ascii="Tahoma" w:hAnsi="Tahoma" w:cs="Tahoma"/>
                <w:i/>
                <w:iCs/>
                <w:sz w:val="20"/>
                <w:szCs w:val="20"/>
                <w:u w:val="single"/>
              </w:rPr>
              <w:t xml:space="preserve">L’informativa data dagli amministratori </w:t>
            </w:r>
            <w:r w:rsidRPr="00F7239E">
              <w:rPr>
                <w:rFonts w:ascii="Tahoma" w:hAnsi="Tahoma" w:cs="Tahoma"/>
                <w:b/>
                <w:bCs/>
                <w:i/>
                <w:iCs/>
                <w:sz w:val="20"/>
                <w:szCs w:val="20"/>
                <w:u w:val="single"/>
              </w:rPr>
              <w:t>non</w:t>
            </w:r>
            <w:r w:rsidRPr="00F7239E">
              <w:rPr>
                <w:rFonts w:ascii="Tahoma" w:hAnsi="Tahoma" w:cs="Tahoma"/>
                <w:i/>
                <w:iCs/>
                <w:sz w:val="20"/>
                <w:szCs w:val="20"/>
                <w:u w:val="single"/>
              </w:rPr>
              <w:t xml:space="preserve"> è adeguata </w:t>
            </w:r>
            <w:r w:rsidRPr="00F7239E">
              <w:rPr>
                <w:rFonts w:ascii="Tahoma" w:hAnsi="Tahoma" w:cs="Tahoma"/>
                <w:i/>
                <w:sz w:val="20"/>
                <w:szCs w:val="20"/>
                <w:u w:val="single"/>
              </w:rPr>
              <w:sym w:font="Wingdings" w:char="F0E0"/>
            </w:r>
            <w:r w:rsidRPr="00F7239E">
              <w:rPr>
                <w:rFonts w:ascii="Tahoma" w:hAnsi="Tahoma" w:cs="Tahoma"/>
                <w:i/>
                <w:iCs/>
                <w:sz w:val="20"/>
                <w:szCs w:val="20"/>
                <w:u w:val="single"/>
              </w:rPr>
              <w:t xml:space="preserve"> giudizio con rilievi o giudizio negativo, secondo le circostanze.</w:t>
            </w:r>
          </w:p>
          <w:p w14:paraId="318A14D8"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lastRenderedPageBreak/>
              <w:t>In tale caso se l’inadeguata informativa in nota integrativa costituisce, secondo il giudizio del revisore, un errore significativo (cioè è in grado di influenzare le decisioni economiche prese dagli utilizzatori in base al bilancio) ma non pervasivo, allora dovrà esprimere un giudizio con rilievi.</w:t>
            </w:r>
          </w:p>
          <w:p w14:paraId="194E71D2"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Se l’inadeguata informativa costituisce, secondo il giudizio del revisore, un errore significativo e pervasivo, allora dovrà esprimere un giudizio negativo.</w:t>
            </w:r>
          </w:p>
          <w:p w14:paraId="71714679"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Si riportano quindi di seguito esempi dei tre paragrafi pertinenti nella relazione di revisione.</w:t>
            </w:r>
          </w:p>
          <w:p w14:paraId="184D3FD1" w14:textId="77777777" w:rsidR="00F7239E" w:rsidRDefault="00F7239E" w:rsidP="00F7239E">
            <w:pPr>
              <w:spacing w:before="60" w:after="60" w:line="326" w:lineRule="auto"/>
              <w:jc w:val="both"/>
              <w:rPr>
                <w:rFonts w:ascii="Tahoma" w:hAnsi="Tahoma" w:cs="Tahoma"/>
                <w:i/>
                <w:iCs/>
                <w:sz w:val="20"/>
                <w:szCs w:val="20"/>
                <w:u w:val="single"/>
              </w:rPr>
            </w:pPr>
          </w:p>
          <w:p w14:paraId="21A99136" w14:textId="2E29E544" w:rsidR="00F7239E" w:rsidRPr="00F7239E" w:rsidRDefault="00F7239E" w:rsidP="00F7239E">
            <w:pPr>
              <w:spacing w:before="60" w:after="60" w:line="326" w:lineRule="auto"/>
              <w:jc w:val="both"/>
              <w:rPr>
                <w:rFonts w:ascii="Tahoma" w:hAnsi="Tahoma" w:cs="Tahoma"/>
                <w:i/>
                <w:iCs/>
                <w:sz w:val="20"/>
                <w:szCs w:val="20"/>
                <w:u w:val="single"/>
              </w:rPr>
            </w:pPr>
            <w:r w:rsidRPr="00F7239E">
              <w:rPr>
                <w:rFonts w:ascii="Tahoma" w:hAnsi="Tahoma" w:cs="Tahoma"/>
                <w:i/>
                <w:iCs/>
                <w:sz w:val="20"/>
                <w:szCs w:val="20"/>
                <w:u w:val="single"/>
              </w:rPr>
              <w:t>Sub Ipotesi IV.1 – Giudizio con rilievi</w:t>
            </w:r>
          </w:p>
          <w:p w14:paraId="013484D6"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Giudizio con rilievi</w:t>
            </w:r>
          </w:p>
          <w:p w14:paraId="56D8AC67" w14:textId="77777777"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515AE121" w14:textId="77777777"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 xml:space="preserve">A mio giudizio, ad eccezione degli effetti di quanto descritto nella sezione Elementi alla base del giudizio con rilievi della presente relazione, il bilancio d’esercizio fornisce una rappresentazione veritiera e corretta della situazione patrimoniale e finanziaria della Società al _______________, del risultato economico e dei flussi di cassa per l’esercizio chiuso a tale data in conformità alle norme italiane che ne disciplinano i criteri di redazione. </w:t>
            </w:r>
          </w:p>
          <w:p w14:paraId="18497DCF" w14:textId="77777777" w:rsidR="00F7239E" w:rsidRDefault="00F7239E" w:rsidP="00F7239E">
            <w:pPr>
              <w:spacing w:before="60" w:after="60" w:line="326" w:lineRule="auto"/>
              <w:jc w:val="both"/>
              <w:rPr>
                <w:rFonts w:ascii="Tahoma" w:hAnsi="Tahoma" w:cs="Tahoma"/>
                <w:i/>
                <w:iCs/>
                <w:sz w:val="20"/>
                <w:szCs w:val="20"/>
              </w:rPr>
            </w:pPr>
          </w:p>
          <w:p w14:paraId="267BA201" w14:textId="20B34422"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Elementi alla base del giudizio con rilievi</w:t>
            </w:r>
          </w:p>
          <w:p w14:paraId="7002D33B"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Esiste un'incertezza significativa che può far sorgere dubbi significativi sulla capacità dell’impresa di continuare ad operare come un’entità in funzionamento: il bilancio non fornisce un'informativa adeguata su tale aspetto per le seguenti circostanze: _________________________</w:t>
            </w:r>
          </w:p>
          <w:p w14:paraId="376E7A97" w14:textId="77777777"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Responsabilità del revisore per la revisione contabile del bilancio d’esercizio della presente relazione. </w:t>
            </w:r>
          </w:p>
          <w:p w14:paraId="2461CBF2" w14:textId="68AB7DAF"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Sono indipendente rispetto alla Società in conformità alle norme e ai principi in materia di etica e di indipendenza applicabili nell’ordinamento italiano alla revisione contabile del bilancio, tra cui il Codice Italiano di Etica ed Indipendenza, approvato con determina del Ragioniere generale dello Stato prot. n. RR 127 del 23 marzo 2023</w:t>
            </w:r>
            <w:r w:rsidR="006E0ED6">
              <w:rPr>
                <w:rFonts w:ascii="Tahoma" w:hAnsi="Tahoma" w:cs="Tahoma"/>
                <w:sz w:val="20"/>
                <w:szCs w:val="20"/>
              </w:rPr>
              <w:t xml:space="preserve">. </w:t>
            </w:r>
            <w:r w:rsidRPr="00F7239E">
              <w:rPr>
                <w:rFonts w:ascii="Tahoma" w:hAnsi="Tahoma" w:cs="Tahoma"/>
                <w:sz w:val="20"/>
                <w:szCs w:val="20"/>
              </w:rPr>
              <w:t xml:space="preserve">Ritengo di aver acquisito elementi probativi sufficienti ed appropriati su cui basare il mio giudizio con rilievi. </w:t>
            </w:r>
          </w:p>
          <w:p w14:paraId="0CA84348" w14:textId="77777777" w:rsidR="00F7239E" w:rsidRDefault="00F7239E" w:rsidP="00F7239E">
            <w:pPr>
              <w:spacing w:before="60" w:after="60" w:line="326" w:lineRule="auto"/>
              <w:jc w:val="both"/>
              <w:rPr>
                <w:rFonts w:ascii="Tahoma" w:hAnsi="Tahoma" w:cs="Tahoma"/>
                <w:i/>
                <w:iCs/>
                <w:sz w:val="20"/>
                <w:szCs w:val="20"/>
              </w:rPr>
            </w:pPr>
          </w:p>
          <w:p w14:paraId="56D9DBA1" w14:textId="566C1D2E"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Incertezza significativa relativa alla continuità aziendale</w:t>
            </w:r>
          </w:p>
          <w:p w14:paraId="7ECB8BB9" w14:textId="77777777"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 xml:space="preserve">Anche ai sensi dell’art. 14, comma 2, lettera f) del </w:t>
            </w:r>
            <w:proofErr w:type="spellStart"/>
            <w:r w:rsidRPr="00F7239E">
              <w:rPr>
                <w:rFonts w:ascii="Tahoma" w:hAnsi="Tahoma" w:cs="Tahoma"/>
                <w:sz w:val="20"/>
                <w:szCs w:val="20"/>
              </w:rPr>
              <w:t>D.Lgs.</w:t>
            </w:r>
            <w:proofErr w:type="spellEnd"/>
            <w:r w:rsidRPr="00F7239E">
              <w:rPr>
                <w:rFonts w:ascii="Tahoma" w:hAnsi="Tahoma" w:cs="Tahoma"/>
                <w:sz w:val="20"/>
                <w:szCs w:val="20"/>
              </w:rPr>
              <w:t xml:space="preserve"> 39/2010, richiamo quanto descritto nella sezione Elementi alla base del giudizio con rilievi della presente relazione.</w:t>
            </w:r>
          </w:p>
          <w:p w14:paraId="3023D33E" w14:textId="3E7EC75E" w:rsidR="00F7239E" w:rsidRPr="00F7239E" w:rsidRDefault="00F7239E" w:rsidP="00F7239E">
            <w:pPr>
              <w:spacing w:before="60" w:after="60" w:line="326" w:lineRule="auto"/>
              <w:jc w:val="both"/>
              <w:rPr>
                <w:rFonts w:ascii="Tahoma" w:hAnsi="Tahoma" w:cs="Tahoma"/>
                <w:i/>
                <w:iCs/>
                <w:sz w:val="20"/>
                <w:szCs w:val="20"/>
                <w:u w:val="single"/>
              </w:rPr>
            </w:pPr>
            <w:r w:rsidRPr="00F7239E">
              <w:rPr>
                <w:rFonts w:ascii="Tahoma" w:hAnsi="Tahoma" w:cs="Tahoma"/>
                <w:i/>
                <w:iCs/>
                <w:sz w:val="20"/>
                <w:szCs w:val="20"/>
                <w:u w:val="single"/>
              </w:rPr>
              <w:t>Sub Ipotesi IV.2 – Giudizio negativo</w:t>
            </w:r>
          </w:p>
          <w:p w14:paraId="0A7FA07B" w14:textId="18D7F6CD"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Giudizio negativo</w:t>
            </w:r>
          </w:p>
          <w:p w14:paraId="5D3C5078" w14:textId="77777777"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lastRenderedPageBreak/>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6DE7F7DD" w14:textId="77777777"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 xml:space="preserve">A mio giudizio, a causa della rilevanza di quanto descritto nella sezione Elementi alla base del giudizio negativo della presente relazione, il bilancio d’esercizio non fornisce una rappresentazione veritiera e corretta della situazione patrimoniale e finanziaria della Società al _______________, del risultato economico e dei flussi di cassa per l’esercizio chiuso a tale data in conformità alle norme italiane che ne disciplinano i criteri di redazione. </w:t>
            </w:r>
          </w:p>
          <w:p w14:paraId="099544D8" w14:textId="77777777" w:rsidR="00F7239E" w:rsidRDefault="00F7239E" w:rsidP="00F7239E">
            <w:pPr>
              <w:spacing w:before="60" w:after="60" w:line="326" w:lineRule="auto"/>
              <w:jc w:val="both"/>
              <w:rPr>
                <w:rFonts w:ascii="Tahoma" w:hAnsi="Tahoma" w:cs="Tahoma"/>
                <w:sz w:val="20"/>
                <w:szCs w:val="20"/>
              </w:rPr>
            </w:pPr>
          </w:p>
          <w:p w14:paraId="771CC52E" w14:textId="2CE5DE7E"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Elementi alla base del giudizio negativo</w:t>
            </w:r>
          </w:p>
          <w:p w14:paraId="25C56522"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 xml:space="preserve">La società ha predisposto il bilancio di esercizio utilizzando il presupposto della continuità aziendale. </w:t>
            </w:r>
          </w:p>
          <w:p w14:paraId="20C580BA"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A mio giudizio l’utilizzo del presupposto della continuità aziendale è appropriato, ma esiste un’incertezza significativa che può far sorgere dubbi significativi sulla capacità dell’impresa di continuare ad operare come un’entità in funzionamento non adeguatamente descritta nelle note al bilancio.</w:t>
            </w:r>
          </w:p>
          <w:p w14:paraId="53E81BF6"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[Descrizione della situazione specifica dell’impresa indicando le circostanze per le quali il revisore ritiene che l’informativa relativa all’esistenza delle incertezze significative sulla continuità aziendale non sia stata fornita in modo adeguato nelle note al bilancio e che la carenza abbia effetti significativi e pervasivi]</w:t>
            </w:r>
          </w:p>
          <w:p w14:paraId="0A8595A5" w14:textId="77777777"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Il bilancio e la relativa informativa non rappresentano in modo adeguato tali circostanze.</w:t>
            </w:r>
          </w:p>
          <w:p w14:paraId="41CA9649" w14:textId="77777777"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 xml:space="preserve">Ho svolto la revisione contabile in conformità ai principi di revisione internazionali (ISA Italia). Le mie responsabilità ai sensi di tali principi sono ulteriormente descritte nella sezione Responsabilità del revisore per la revisione contabile del bilancio d’esercizio della presente relazione. </w:t>
            </w:r>
          </w:p>
          <w:p w14:paraId="13F442F7" w14:textId="70E5EFB3" w:rsidR="00F7239E" w:rsidRPr="00F7239E"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Sono indipendente rispetto alla Società in conformità alle norme e ai principi in materia di etica e di indipendenza applicabili nell’ordinamento italiano alla revisione contabile del bilancio, tra cui il Codice Italiano di Etica ed Indipendenza, approvato con determina del Ragioniere generale dello Stato prot. n. RR 127 del 23 marzo 2023</w:t>
            </w:r>
            <w:r w:rsidR="006E0ED6">
              <w:rPr>
                <w:rFonts w:ascii="Tahoma" w:hAnsi="Tahoma" w:cs="Tahoma"/>
                <w:sz w:val="20"/>
                <w:szCs w:val="20"/>
              </w:rPr>
              <w:t xml:space="preserve">. </w:t>
            </w:r>
            <w:r w:rsidRPr="00F7239E">
              <w:rPr>
                <w:rFonts w:ascii="Tahoma" w:hAnsi="Tahoma" w:cs="Tahoma"/>
                <w:sz w:val="20"/>
                <w:szCs w:val="20"/>
              </w:rPr>
              <w:t xml:space="preserve">Ritengo di aver acquisito elementi probativi sufficienti ed appropriati su cui basare il mio giudizio negativo. </w:t>
            </w:r>
          </w:p>
          <w:p w14:paraId="636ECE1B" w14:textId="77777777" w:rsidR="00F7239E" w:rsidRDefault="00F7239E" w:rsidP="00F7239E">
            <w:pPr>
              <w:spacing w:before="60" w:after="60" w:line="326" w:lineRule="auto"/>
              <w:jc w:val="both"/>
              <w:rPr>
                <w:rFonts w:ascii="Tahoma" w:hAnsi="Tahoma" w:cs="Tahoma"/>
                <w:i/>
                <w:iCs/>
                <w:sz w:val="20"/>
                <w:szCs w:val="20"/>
              </w:rPr>
            </w:pPr>
          </w:p>
          <w:p w14:paraId="1CB9CC68" w14:textId="696BB0E9" w:rsidR="00F7239E" w:rsidRPr="00F7239E" w:rsidRDefault="00F7239E" w:rsidP="00F7239E">
            <w:pPr>
              <w:spacing w:before="60" w:after="60" w:line="326" w:lineRule="auto"/>
              <w:jc w:val="both"/>
              <w:rPr>
                <w:rFonts w:ascii="Tahoma" w:hAnsi="Tahoma" w:cs="Tahoma"/>
                <w:i/>
                <w:iCs/>
                <w:sz w:val="20"/>
                <w:szCs w:val="20"/>
              </w:rPr>
            </w:pPr>
            <w:r w:rsidRPr="00F7239E">
              <w:rPr>
                <w:rFonts w:ascii="Tahoma" w:hAnsi="Tahoma" w:cs="Tahoma"/>
                <w:i/>
                <w:iCs/>
                <w:sz w:val="20"/>
                <w:szCs w:val="20"/>
              </w:rPr>
              <w:t>Incertezza significativa relativa alla continuità aziendale</w:t>
            </w:r>
          </w:p>
          <w:p w14:paraId="67847C31" w14:textId="1EE380FC" w:rsidR="00A51657" w:rsidRDefault="00F7239E" w:rsidP="00F7239E">
            <w:pPr>
              <w:spacing w:before="60" w:after="60" w:line="326" w:lineRule="auto"/>
              <w:jc w:val="both"/>
              <w:rPr>
                <w:rFonts w:ascii="Tahoma" w:hAnsi="Tahoma" w:cs="Tahoma"/>
                <w:sz w:val="20"/>
                <w:szCs w:val="20"/>
              </w:rPr>
            </w:pPr>
            <w:r w:rsidRPr="00F7239E">
              <w:rPr>
                <w:rFonts w:ascii="Tahoma" w:hAnsi="Tahoma" w:cs="Tahoma"/>
                <w:sz w:val="20"/>
                <w:szCs w:val="20"/>
              </w:rPr>
              <w:t xml:space="preserve">Anche ai sensi dell’art. 14, comma 2, lettera f) del </w:t>
            </w:r>
            <w:proofErr w:type="spellStart"/>
            <w:r w:rsidRPr="00F7239E">
              <w:rPr>
                <w:rFonts w:ascii="Tahoma" w:hAnsi="Tahoma" w:cs="Tahoma"/>
                <w:sz w:val="20"/>
                <w:szCs w:val="20"/>
              </w:rPr>
              <w:t>D.Lgs.</w:t>
            </w:r>
            <w:proofErr w:type="spellEnd"/>
            <w:r w:rsidRPr="00F7239E">
              <w:rPr>
                <w:rFonts w:ascii="Tahoma" w:hAnsi="Tahoma" w:cs="Tahoma"/>
                <w:sz w:val="20"/>
                <w:szCs w:val="20"/>
              </w:rPr>
              <w:t xml:space="preserve"> 39/2010, richiamo quanto descritto nella sezione </w:t>
            </w:r>
            <w:r w:rsidRPr="00F7239E">
              <w:rPr>
                <w:rFonts w:ascii="Tahoma" w:hAnsi="Tahoma" w:cs="Tahoma"/>
                <w:i/>
                <w:iCs/>
                <w:sz w:val="20"/>
                <w:szCs w:val="20"/>
              </w:rPr>
              <w:t>Elementi alla base del giudizio negativo</w:t>
            </w:r>
            <w:r w:rsidRPr="00F7239E">
              <w:rPr>
                <w:rFonts w:ascii="Tahoma" w:hAnsi="Tahoma" w:cs="Tahoma"/>
                <w:sz w:val="20"/>
                <w:szCs w:val="20"/>
              </w:rPr>
              <w:t xml:space="preserve"> della presente relazione.</w:t>
            </w:r>
          </w:p>
        </w:tc>
      </w:tr>
    </w:tbl>
    <w:p w14:paraId="6694919F" w14:textId="77777777" w:rsidR="00F7239E" w:rsidRDefault="00F7239E"/>
    <w:p w14:paraId="04F17A7F" w14:textId="77777777" w:rsidR="00493351" w:rsidRDefault="00493351"/>
    <w:tbl>
      <w:tblPr>
        <w:tblStyle w:val="Grigliatabella"/>
        <w:tblW w:w="0" w:type="auto"/>
        <w:tblLook w:val="04A0" w:firstRow="1" w:lastRow="0" w:firstColumn="1" w:lastColumn="0" w:noHBand="0" w:noVBand="1"/>
      </w:tblPr>
      <w:tblGrid>
        <w:gridCol w:w="9628"/>
      </w:tblGrid>
      <w:tr w:rsidR="00A51657" w14:paraId="3D889ABA" w14:textId="77777777" w:rsidTr="003B5138">
        <w:tc>
          <w:tcPr>
            <w:tcW w:w="9628" w:type="dxa"/>
          </w:tcPr>
          <w:p w14:paraId="55599A08" w14:textId="77777777" w:rsidR="00A51657" w:rsidRPr="00A51657" w:rsidRDefault="00A51657" w:rsidP="00A51657">
            <w:pPr>
              <w:spacing w:before="60" w:after="60" w:line="326" w:lineRule="auto"/>
              <w:jc w:val="both"/>
              <w:rPr>
                <w:rFonts w:ascii="Tahoma" w:hAnsi="Tahoma" w:cs="Tahoma"/>
                <w:b/>
                <w:bCs/>
                <w:sz w:val="20"/>
                <w:szCs w:val="20"/>
              </w:rPr>
            </w:pPr>
            <w:r w:rsidRPr="00A51657">
              <w:rPr>
                <w:rFonts w:ascii="Tahoma" w:hAnsi="Tahoma" w:cs="Tahoma"/>
                <w:b/>
                <w:bCs/>
                <w:sz w:val="20"/>
                <w:szCs w:val="20"/>
              </w:rPr>
              <w:t>Ipotesi V  - molteplici incertezze significative</w:t>
            </w:r>
          </w:p>
          <w:p w14:paraId="69771107"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In situazioni caratterizzate da molteplici incertezze significative per il bilancio nel suo complesso, il revisore può considerare appropriato, in casi estremamente rari, dichiarare l’impossibilità di esprimere un giudizio, in base al Principio di revisione internazionale (ISA Italia) n. 705.</w:t>
            </w:r>
          </w:p>
          <w:p w14:paraId="17D51781"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In tal caso, il revisore, nel dichiarare l’impossibilità di esprimere un giudizio, indica anche quanto richiesto dall’art. 14, co. 2, lettera f), del Decreto stesso.</w:t>
            </w:r>
          </w:p>
          <w:p w14:paraId="64F38129" w14:textId="77777777" w:rsidR="00A51657" w:rsidRP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lastRenderedPageBreak/>
              <w:t xml:space="preserve">Riportiamo quindi il paragrafo del giudizio e i paragrafi collegati (anche ai sensi dell’art. 14, secondo comma, lettera f del </w:t>
            </w:r>
            <w:proofErr w:type="spellStart"/>
            <w:r w:rsidRPr="00A51657">
              <w:rPr>
                <w:rFonts w:ascii="Tahoma" w:hAnsi="Tahoma" w:cs="Tahoma"/>
                <w:i/>
                <w:iCs/>
                <w:sz w:val="20"/>
                <w:szCs w:val="20"/>
              </w:rPr>
              <w:t>D.Lgs.</w:t>
            </w:r>
            <w:proofErr w:type="spellEnd"/>
            <w:r w:rsidRPr="00A51657">
              <w:rPr>
                <w:rFonts w:ascii="Tahoma" w:hAnsi="Tahoma" w:cs="Tahoma"/>
                <w:i/>
                <w:iCs/>
                <w:sz w:val="20"/>
                <w:szCs w:val="20"/>
              </w:rPr>
              <w:t xml:space="preserve"> 39/2010)</w:t>
            </w:r>
          </w:p>
          <w:p w14:paraId="6CAEDECE" w14:textId="77777777" w:rsidR="00A51657" w:rsidRDefault="00A51657" w:rsidP="00A51657">
            <w:pPr>
              <w:spacing w:before="60" w:after="60" w:line="326" w:lineRule="auto"/>
              <w:jc w:val="both"/>
              <w:rPr>
                <w:rFonts w:ascii="Tahoma" w:hAnsi="Tahoma" w:cs="Tahoma"/>
                <w:i/>
                <w:iCs/>
                <w:sz w:val="20"/>
                <w:szCs w:val="20"/>
              </w:rPr>
            </w:pPr>
            <w:r w:rsidRPr="00A51657">
              <w:rPr>
                <w:rFonts w:ascii="Tahoma" w:hAnsi="Tahoma" w:cs="Tahoma"/>
                <w:i/>
                <w:iCs/>
                <w:sz w:val="20"/>
                <w:szCs w:val="20"/>
              </w:rPr>
              <w:t>Impossibilità di esprimere un giudizio</w:t>
            </w:r>
          </w:p>
          <w:p w14:paraId="354EABE4" w14:textId="77777777" w:rsidR="00A51657" w:rsidRPr="00A51657" w:rsidRDefault="00A51657" w:rsidP="00A51657">
            <w:pPr>
              <w:spacing w:before="60" w:after="60" w:line="326" w:lineRule="auto"/>
              <w:jc w:val="both"/>
              <w:rPr>
                <w:rFonts w:ascii="Tahoma" w:hAnsi="Tahoma" w:cs="Tahoma"/>
                <w:i/>
                <w:iCs/>
                <w:sz w:val="20"/>
                <w:szCs w:val="20"/>
              </w:rPr>
            </w:pPr>
          </w:p>
          <w:p w14:paraId="0BA667AB"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Ho svolto la revisione contabile del bilancio d’esercizio della Società ___________ costituito dallo stato patrimoniale al __________, dal conto economico, dal rendiconto finanziario per l’esercizio chiuso a tale data e dalla nota integrativa. </w:t>
            </w:r>
          </w:p>
          <w:p w14:paraId="78D6544D" w14:textId="516CFCDE"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Non esprimo un giudizio sul bilancio al ____________ della società. </w:t>
            </w:r>
          </w:p>
          <w:p w14:paraId="04721E76"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A causa della rilevanza di quanto descritto nella sezione Elementi alla base della dichiarazione di impossibilità di esprimere un giudizio della presente relazione, non sono stato in grado di acquisire elementi probativi sufficienti ed appropriati su cui basare il mio giudizio sul bilancio.</w:t>
            </w:r>
          </w:p>
          <w:p w14:paraId="29073F34"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Elementi alla base della dichiarazione di impossibilità di esprimere un giudizio</w:t>
            </w:r>
          </w:p>
          <w:p w14:paraId="1610796C"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[Descrizione delle circostanze specifiche dell’impresa e delle motivazioni per cui il revisore non ha potuto acquisire elementi probativi sufficienti ed appropriati sull’utilizzo del presupposto della continuità aziendale nella redazione del bilancio, ad es., a causa del rifiuto degli amministratori di effettuare o estendere la propria valutazione della capacità dell’impresa di operare come un’entità in funzionamento]</w:t>
            </w:r>
          </w:p>
          <w:p w14:paraId="110EDB4F" w14:textId="77777777" w:rsidR="00A51657" w:rsidRP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Incertezza significativa relativa alla continuità aziendale</w:t>
            </w:r>
          </w:p>
          <w:p w14:paraId="7D54E957" w14:textId="02002C96" w:rsidR="00A51657" w:rsidRDefault="00A51657" w:rsidP="00A51657">
            <w:pPr>
              <w:spacing w:before="60" w:after="60" w:line="326" w:lineRule="auto"/>
              <w:jc w:val="both"/>
              <w:rPr>
                <w:rFonts w:ascii="Tahoma" w:hAnsi="Tahoma" w:cs="Tahoma"/>
                <w:sz w:val="20"/>
                <w:szCs w:val="20"/>
              </w:rPr>
            </w:pPr>
            <w:r w:rsidRPr="00A51657">
              <w:rPr>
                <w:rFonts w:ascii="Tahoma" w:hAnsi="Tahoma" w:cs="Tahoma"/>
                <w:sz w:val="20"/>
                <w:szCs w:val="20"/>
              </w:rPr>
              <w:t xml:space="preserve">Anche ai sensi dell’art. 14, comma 2, lettera f) del </w:t>
            </w:r>
            <w:proofErr w:type="spellStart"/>
            <w:r w:rsidRPr="00A51657">
              <w:rPr>
                <w:rFonts w:ascii="Tahoma" w:hAnsi="Tahoma" w:cs="Tahoma"/>
                <w:sz w:val="20"/>
                <w:szCs w:val="20"/>
              </w:rPr>
              <w:t>D.Lgs.</w:t>
            </w:r>
            <w:proofErr w:type="spellEnd"/>
            <w:r w:rsidRPr="00A51657">
              <w:rPr>
                <w:rFonts w:ascii="Tahoma" w:hAnsi="Tahoma" w:cs="Tahoma"/>
                <w:sz w:val="20"/>
                <w:szCs w:val="20"/>
              </w:rPr>
              <w:t xml:space="preserve"> 39/2010, richiamo quanto descritto nella sezione Dichiarazione di impossibilità di esprimere un giudizio della presente relazione, in quanto sussistono incertezze significative relative a eventi o a circostanze che potrebbero sollevare dubbi significativi sulla capacità della società sottoposta a revisione di mantenere la continuità aziendale.</w:t>
            </w:r>
          </w:p>
        </w:tc>
      </w:tr>
    </w:tbl>
    <w:p w14:paraId="375AD33C" w14:textId="77777777" w:rsidR="00EC0E27" w:rsidRPr="00B15171" w:rsidRDefault="00EC0E27" w:rsidP="00B15171">
      <w:pPr>
        <w:spacing w:after="200" w:line="360" w:lineRule="auto"/>
        <w:jc w:val="both"/>
        <w:rPr>
          <w:rFonts w:ascii="Tahoma" w:hAnsi="Tahoma" w:cs="Tahoma"/>
          <w:sz w:val="20"/>
          <w:szCs w:val="20"/>
        </w:rPr>
      </w:pPr>
    </w:p>
    <w:p w14:paraId="6C40F0F6" w14:textId="77777777" w:rsidR="0096062D" w:rsidRPr="00B15171" w:rsidRDefault="0096062D" w:rsidP="00B15171">
      <w:pPr>
        <w:spacing w:after="200" w:line="360" w:lineRule="auto"/>
        <w:jc w:val="both"/>
        <w:rPr>
          <w:rFonts w:ascii="Tahoma" w:hAnsi="Tahoma" w:cs="Tahoma"/>
          <w:sz w:val="20"/>
          <w:szCs w:val="20"/>
        </w:rPr>
      </w:pPr>
    </w:p>
    <w:p w14:paraId="0ADA638E" w14:textId="77777777" w:rsidR="00312A65" w:rsidRDefault="00312A65" w:rsidP="00B15171">
      <w:pPr>
        <w:spacing w:after="200" w:line="360" w:lineRule="auto"/>
        <w:jc w:val="both"/>
        <w:rPr>
          <w:rFonts w:ascii="Tahoma" w:hAnsi="Tahoma" w:cs="Tahoma"/>
          <w:sz w:val="20"/>
          <w:szCs w:val="20"/>
        </w:rPr>
        <w:sectPr w:rsidR="00312A65" w:rsidSect="00CD27CA">
          <w:pgSz w:w="11906" w:h="16838" w:code="9"/>
          <w:pgMar w:top="1418" w:right="1134" w:bottom="1134" w:left="1134" w:header="709" w:footer="567" w:gutter="0"/>
          <w:cols w:space="708"/>
          <w:titlePg/>
          <w:docGrid w:linePitch="360"/>
        </w:sectPr>
      </w:pPr>
    </w:p>
    <w:p w14:paraId="0B335085" w14:textId="01B74F3B" w:rsidR="00C613D8" w:rsidRPr="00B15171" w:rsidRDefault="00AC4992" w:rsidP="00312A65">
      <w:pPr>
        <w:pStyle w:val="Titolo1"/>
      </w:pPr>
      <w:bookmarkStart w:id="5" w:name="_Toc161309091"/>
      <w:r w:rsidRPr="00B15171">
        <w:rPr>
          <w:rFonts w:cs="Tahoma"/>
          <w:b w:val="0"/>
          <w:bCs w:val="0"/>
          <w:noProof/>
        </w:rPr>
        <w:lastRenderedPageBreak/>
        <mc:AlternateContent>
          <mc:Choice Requires="wps">
            <w:drawing>
              <wp:anchor distT="4294967292" distB="4294967292" distL="114300" distR="114300" simplePos="0" relativeHeight="251670528" behindDoc="0" locked="0" layoutInCell="1" allowOverlap="1" wp14:anchorId="5C4DA305" wp14:editId="0C6E9F78">
                <wp:simplePos x="0" y="0"/>
                <wp:positionH relativeFrom="margin">
                  <wp:posOffset>1831340</wp:posOffset>
                </wp:positionH>
                <wp:positionV relativeFrom="paragraph">
                  <wp:posOffset>300257</wp:posOffset>
                </wp:positionV>
                <wp:extent cx="2443480" cy="0"/>
                <wp:effectExtent l="19050" t="19050" r="33020" b="38100"/>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68256EE4" id="_x0000_t32" coordsize="21600,21600" o:spt="32" o:oned="t" path="m,l21600,21600e" filled="f">
                <v:path arrowok="t" fillok="f" o:connecttype="none"/>
                <o:lock v:ext="edit" shapetype="t"/>
              </v:shapetype>
              <v:shape id="Connettore 2 11" o:spid="_x0000_s1026" type="#_x0000_t32" style="position:absolute;margin-left:144.2pt;margin-top:23.65pt;width:192.4pt;height:0;z-index:2516705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" strokecolor="#404040" strokeweight=".53mm">
                <v:stroke joinstyle="miter" endcap="square"/>
                <w10:wrap anchorx="margin"/>
              </v:shape>
            </w:pict>
          </mc:Fallback>
        </mc:AlternateContent>
      </w:r>
      <w:r w:rsidR="00312A65">
        <w:t>2.</w:t>
      </w:r>
      <w:r w:rsidRPr="003B3176">
        <w:br/>
      </w:r>
      <w:r w:rsidR="005271D6" w:rsidRPr="00B15171">
        <w:t>L’</w:t>
      </w:r>
      <w:r w:rsidR="00312A65" w:rsidRPr="00B15171">
        <w:t>applicazione del principio di continuit</w:t>
      </w:r>
      <w:r w:rsidR="00312A65">
        <w:rPr>
          <w:lang w:val="it-IT"/>
        </w:rPr>
        <w:t>à</w:t>
      </w:r>
      <w:r w:rsidR="00312A65" w:rsidRPr="00B15171">
        <w:t xml:space="preserve"> nei bilanci 2019 e 2020 e gli effetti sui bilanci successivi</w:t>
      </w:r>
      <w:bookmarkEnd w:id="5"/>
    </w:p>
    <w:p w14:paraId="4AA4C3C6" w14:textId="20E74E16" w:rsidR="0096062D" w:rsidRDefault="0096062D" w:rsidP="00B15171">
      <w:pPr>
        <w:pStyle w:val="Paragrafoelenco"/>
        <w:spacing w:after="200" w:line="360" w:lineRule="auto"/>
        <w:contextualSpacing w:val="0"/>
        <w:jc w:val="both"/>
        <w:rPr>
          <w:rFonts w:ascii="Tahoma" w:hAnsi="Tahoma" w:cs="Tahoma"/>
          <w:b/>
          <w:sz w:val="20"/>
          <w:szCs w:val="20"/>
        </w:rPr>
      </w:pPr>
    </w:p>
    <w:p w14:paraId="64AB7709" w14:textId="21027454" w:rsidR="00312A65" w:rsidRDefault="00312A65" w:rsidP="00B15171">
      <w:pPr>
        <w:pStyle w:val="Paragrafoelenco"/>
        <w:spacing w:after="200" w:line="360" w:lineRule="auto"/>
        <w:contextualSpacing w:val="0"/>
        <w:jc w:val="both"/>
        <w:rPr>
          <w:rFonts w:ascii="Tahoma" w:hAnsi="Tahoma" w:cs="Tahoma"/>
          <w:b/>
          <w:sz w:val="20"/>
          <w:szCs w:val="20"/>
        </w:rPr>
      </w:pPr>
    </w:p>
    <w:p w14:paraId="76358F1B" w14:textId="29872C11" w:rsidR="00312A65" w:rsidRDefault="00312A65" w:rsidP="00B15171">
      <w:pPr>
        <w:pStyle w:val="Paragrafoelenco"/>
        <w:spacing w:after="200" w:line="360" w:lineRule="auto"/>
        <w:contextualSpacing w:val="0"/>
        <w:jc w:val="both"/>
        <w:rPr>
          <w:rFonts w:ascii="Tahoma" w:hAnsi="Tahoma" w:cs="Tahoma"/>
          <w:b/>
          <w:sz w:val="20"/>
          <w:szCs w:val="20"/>
        </w:rPr>
      </w:pPr>
    </w:p>
    <w:p w14:paraId="041142FB" w14:textId="25434B43" w:rsidR="00312A65" w:rsidRDefault="00312A65" w:rsidP="00B15171">
      <w:pPr>
        <w:pStyle w:val="Paragrafoelenco"/>
        <w:spacing w:after="200" w:line="360" w:lineRule="auto"/>
        <w:contextualSpacing w:val="0"/>
        <w:jc w:val="both"/>
        <w:rPr>
          <w:rFonts w:ascii="Tahoma" w:hAnsi="Tahoma" w:cs="Tahoma"/>
          <w:b/>
          <w:sz w:val="20"/>
          <w:szCs w:val="20"/>
        </w:rPr>
      </w:pPr>
    </w:p>
    <w:p w14:paraId="21AB0609" w14:textId="54889079" w:rsidR="00312A65" w:rsidRDefault="00312A65" w:rsidP="00B15171">
      <w:pPr>
        <w:pStyle w:val="Paragrafoelenco"/>
        <w:spacing w:after="200" w:line="360" w:lineRule="auto"/>
        <w:contextualSpacing w:val="0"/>
        <w:jc w:val="both"/>
        <w:rPr>
          <w:rFonts w:ascii="Tahoma" w:hAnsi="Tahoma" w:cs="Tahoma"/>
          <w:b/>
          <w:sz w:val="20"/>
          <w:szCs w:val="20"/>
        </w:rPr>
      </w:pPr>
    </w:p>
    <w:p w14:paraId="327F3A86" w14:textId="77777777" w:rsidR="00312A65" w:rsidRPr="00B15171" w:rsidRDefault="00312A65" w:rsidP="00B15171">
      <w:pPr>
        <w:pStyle w:val="Paragrafoelenco"/>
        <w:spacing w:after="200" w:line="360" w:lineRule="auto"/>
        <w:contextualSpacing w:val="0"/>
        <w:jc w:val="both"/>
        <w:rPr>
          <w:rFonts w:ascii="Tahoma" w:hAnsi="Tahoma" w:cs="Tahoma"/>
          <w:b/>
          <w:sz w:val="20"/>
          <w:szCs w:val="20"/>
        </w:rPr>
      </w:pPr>
    </w:p>
    <w:p w14:paraId="73122DCB" w14:textId="55F4FC9F" w:rsidR="00622ED9" w:rsidRPr="00B15171" w:rsidRDefault="00312A65" w:rsidP="00312A65">
      <w:pPr>
        <w:pStyle w:val="Titolo2"/>
      </w:pPr>
      <w:bookmarkStart w:id="6" w:name="_Toc161309092"/>
      <w:r>
        <w:t>2</w:t>
      </w:r>
      <w:r w:rsidR="00996569" w:rsidRPr="00B15171">
        <w:t xml:space="preserve">.1 </w:t>
      </w:r>
      <w:r w:rsidR="00622ED9" w:rsidRPr="00B15171">
        <w:t>L’art. 38-</w:t>
      </w:r>
      <w:r w:rsidR="00622ED9" w:rsidRPr="00B15171">
        <w:rPr>
          <w:i/>
        </w:rPr>
        <w:t xml:space="preserve">quater </w:t>
      </w:r>
      <w:r w:rsidR="00622ED9" w:rsidRPr="00B15171">
        <w:t xml:space="preserve"> della L. 77/2020</w:t>
      </w:r>
      <w:bookmarkEnd w:id="6"/>
    </w:p>
    <w:p w14:paraId="75ABA955" w14:textId="7505BA23" w:rsidR="00622ED9" w:rsidRPr="00B15171" w:rsidRDefault="00622ED9" w:rsidP="00B15171">
      <w:pPr>
        <w:spacing w:after="200" w:line="360" w:lineRule="auto"/>
        <w:jc w:val="both"/>
        <w:rPr>
          <w:rFonts w:ascii="Tahoma" w:hAnsi="Tahoma" w:cs="Tahoma"/>
          <w:sz w:val="20"/>
          <w:szCs w:val="20"/>
        </w:rPr>
      </w:pPr>
      <w:r w:rsidRPr="00B15171">
        <w:rPr>
          <w:rFonts w:ascii="Tahoma" w:hAnsi="Tahoma" w:cs="Tahoma"/>
          <w:sz w:val="20"/>
          <w:szCs w:val="20"/>
        </w:rPr>
        <w:t>Il legislatore era dapprima intervenuto con l’articolo 7 del DL 23/2020, per regolare l’applicazione del principio di continuità aziendale nel bilancio del 2020 e</w:t>
      </w:r>
      <w:r w:rsidR="00D45ED0">
        <w:rPr>
          <w:rFonts w:ascii="Tahoma" w:hAnsi="Tahoma" w:cs="Tahoma"/>
          <w:sz w:val="20"/>
          <w:szCs w:val="20"/>
        </w:rPr>
        <w:t>,</w:t>
      </w:r>
      <w:r w:rsidRPr="00B15171">
        <w:rPr>
          <w:rFonts w:ascii="Tahoma" w:hAnsi="Tahoma" w:cs="Tahoma"/>
          <w:sz w:val="20"/>
          <w:szCs w:val="20"/>
        </w:rPr>
        <w:t xml:space="preserve"> con un secondo comma quasi appiccicato a caso</w:t>
      </w:r>
      <w:r w:rsidR="00D45ED0">
        <w:rPr>
          <w:rFonts w:ascii="Tahoma" w:hAnsi="Tahoma" w:cs="Tahoma"/>
          <w:sz w:val="20"/>
          <w:szCs w:val="20"/>
        </w:rPr>
        <w:t>,</w:t>
      </w:r>
      <w:r w:rsidRPr="00B15171">
        <w:rPr>
          <w:rFonts w:ascii="Tahoma" w:hAnsi="Tahoma" w:cs="Tahoma"/>
          <w:sz w:val="20"/>
          <w:szCs w:val="20"/>
        </w:rPr>
        <w:t xml:space="preserve"> nel bilancio 2019.</w:t>
      </w:r>
    </w:p>
    <w:p w14:paraId="04C9120B" w14:textId="75925A32" w:rsidR="00C613D8" w:rsidRPr="00B15171" w:rsidRDefault="00C613D8" w:rsidP="00B15171">
      <w:pPr>
        <w:spacing w:after="200" w:line="360" w:lineRule="auto"/>
        <w:jc w:val="both"/>
        <w:rPr>
          <w:rFonts w:ascii="Tahoma" w:hAnsi="Tahoma" w:cs="Tahoma"/>
          <w:sz w:val="20"/>
          <w:szCs w:val="20"/>
        </w:rPr>
      </w:pPr>
      <w:r w:rsidRPr="00B15171">
        <w:rPr>
          <w:rFonts w:ascii="Tahoma" w:hAnsi="Tahoma" w:cs="Tahoma"/>
          <w:sz w:val="20"/>
          <w:szCs w:val="20"/>
        </w:rPr>
        <w:t>Con colpevole ritardo ris</w:t>
      </w:r>
      <w:r w:rsidR="00653B17" w:rsidRPr="00B15171">
        <w:rPr>
          <w:rFonts w:ascii="Tahoma" w:hAnsi="Tahoma" w:cs="Tahoma"/>
          <w:sz w:val="20"/>
          <w:szCs w:val="20"/>
        </w:rPr>
        <w:t>petto alla chiusura dei bilanci</w:t>
      </w:r>
      <w:r w:rsidRPr="00B15171">
        <w:rPr>
          <w:rFonts w:ascii="Tahoma" w:hAnsi="Tahoma" w:cs="Tahoma"/>
          <w:sz w:val="20"/>
          <w:szCs w:val="20"/>
        </w:rPr>
        <w:t xml:space="preserve"> che</w:t>
      </w:r>
      <w:r w:rsidR="00653B17" w:rsidRPr="00B15171">
        <w:rPr>
          <w:rFonts w:ascii="Tahoma" w:hAnsi="Tahoma" w:cs="Tahoma"/>
          <w:sz w:val="20"/>
          <w:szCs w:val="20"/>
        </w:rPr>
        <w:t>,</w:t>
      </w:r>
      <w:r w:rsidRPr="00B15171">
        <w:rPr>
          <w:rFonts w:ascii="Tahoma" w:hAnsi="Tahoma" w:cs="Tahoma"/>
          <w:sz w:val="20"/>
          <w:szCs w:val="20"/>
        </w:rPr>
        <w:t xml:space="preserve"> per effetto della proroga a 180 giorni, ai sensi dell'articolo 106 del </w:t>
      </w:r>
      <w:r w:rsidR="00653B17" w:rsidRPr="00B15171">
        <w:rPr>
          <w:rFonts w:ascii="Tahoma" w:hAnsi="Tahoma" w:cs="Tahoma"/>
          <w:sz w:val="20"/>
          <w:szCs w:val="20"/>
        </w:rPr>
        <w:t>DL</w:t>
      </w:r>
      <w:r w:rsidRPr="00B15171">
        <w:rPr>
          <w:rFonts w:ascii="Tahoma" w:hAnsi="Tahoma" w:cs="Tahoma"/>
          <w:sz w:val="20"/>
          <w:szCs w:val="20"/>
        </w:rPr>
        <w:t xml:space="preserve"> 18</w:t>
      </w:r>
      <w:r w:rsidR="00653B17" w:rsidRPr="00B15171">
        <w:rPr>
          <w:rFonts w:ascii="Tahoma" w:hAnsi="Tahoma" w:cs="Tahoma"/>
          <w:sz w:val="20"/>
          <w:szCs w:val="20"/>
        </w:rPr>
        <w:t>/2020</w:t>
      </w:r>
      <w:r w:rsidRPr="00B15171">
        <w:rPr>
          <w:rFonts w:ascii="Tahoma" w:hAnsi="Tahoma" w:cs="Tahoma"/>
          <w:sz w:val="20"/>
          <w:szCs w:val="20"/>
        </w:rPr>
        <w:t>, dovevano essere approvati da assemblee che si dovevano tenere entro il 28 giugno 2020, la Legge 77 del 17 luglio 2020, che convertiva il DL 34 del 19 maggio 2020, in sede appunto di conversione, cambiava le regole concernenti il bilancio 2019.</w:t>
      </w:r>
    </w:p>
    <w:p w14:paraId="321651BE" w14:textId="5C024C74" w:rsidR="00C613D8" w:rsidRPr="00B15171" w:rsidRDefault="00C613D8" w:rsidP="00B15171">
      <w:pPr>
        <w:spacing w:after="200" w:line="360" w:lineRule="auto"/>
        <w:jc w:val="both"/>
        <w:rPr>
          <w:rFonts w:ascii="Tahoma" w:hAnsi="Tahoma" w:cs="Tahoma"/>
          <w:sz w:val="20"/>
          <w:szCs w:val="20"/>
        </w:rPr>
      </w:pPr>
      <w:r w:rsidRPr="00B15171">
        <w:rPr>
          <w:rFonts w:ascii="Tahoma" w:hAnsi="Tahoma" w:cs="Tahoma"/>
          <w:sz w:val="20"/>
          <w:szCs w:val="20"/>
        </w:rPr>
        <w:t>Il prima comma dell’articolo 38-</w:t>
      </w:r>
      <w:r w:rsidRPr="00B15171">
        <w:rPr>
          <w:rFonts w:ascii="Tahoma" w:hAnsi="Tahoma" w:cs="Tahoma"/>
          <w:i/>
          <w:sz w:val="20"/>
          <w:szCs w:val="20"/>
        </w:rPr>
        <w:t>quater</w:t>
      </w:r>
      <w:r w:rsidRPr="00B15171">
        <w:rPr>
          <w:rFonts w:ascii="Tahoma" w:hAnsi="Tahoma" w:cs="Tahoma"/>
          <w:sz w:val="20"/>
          <w:szCs w:val="20"/>
        </w:rPr>
        <w:t xml:space="preserve"> stabili</w:t>
      </w:r>
      <w:r w:rsidR="00D45ED0">
        <w:rPr>
          <w:rFonts w:ascii="Tahoma" w:hAnsi="Tahoma" w:cs="Tahoma"/>
          <w:sz w:val="20"/>
          <w:szCs w:val="20"/>
        </w:rPr>
        <w:t>va</w:t>
      </w:r>
      <w:r w:rsidRPr="00B15171">
        <w:rPr>
          <w:rFonts w:ascii="Tahoma" w:hAnsi="Tahoma" w:cs="Tahoma"/>
          <w:sz w:val="20"/>
          <w:szCs w:val="20"/>
        </w:rPr>
        <w:t xml:space="preserve"> quanto segue:</w:t>
      </w:r>
    </w:p>
    <w:p w14:paraId="5716F9CF" w14:textId="328C46B7" w:rsidR="00A15DB4" w:rsidRPr="00312A65" w:rsidRDefault="00C613D8" w:rsidP="00B15171">
      <w:pPr>
        <w:spacing w:after="200" w:line="360" w:lineRule="auto"/>
        <w:jc w:val="both"/>
        <w:rPr>
          <w:rFonts w:ascii="Tahoma" w:hAnsi="Tahoma" w:cs="Tahoma"/>
          <w:i/>
          <w:sz w:val="20"/>
          <w:szCs w:val="20"/>
        </w:rPr>
      </w:pPr>
      <w:r w:rsidRPr="00B15171">
        <w:rPr>
          <w:rFonts w:ascii="Tahoma" w:hAnsi="Tahoma" w:cs="Tahoma"/>
          <w:i/>
          <w:sz w:val="20"/>
          <w:szCs w:val="20"/>
        </w:rPr>
        <w:t>“Nella predisposizione dei bilanci il cui esercizio è stato chiuso entro il 23 febbraio 2020 e non ancora approvati, la valutazione delle voci e della prospettiva della continuazione dell’attività di cui all’articolo 2423 -bis , primo comma, numero 1), del codice civile è effettuata non tenendo conto delle incertezze e degli effetti derivanti dai fatti successivi alla data di chiusura del bilancio. Le informazioni relative al presupposto della continuità aziendale sono fornite nelle politiche contabili di cui all’articolo 2427, primo comma, numero 1), del codice civile. Restano ferme tutte le altre disposizioni relative alle informazioni da fornire nella nota integrativa e alla relazione sulla gestione, comprese quelle relative ai rischi e alle incertezze concernenti gli eventi successivi, nonché alla capacità dell’azienda di continuare a costituire un complesso economico funzionante destinato alla produzione di reddito.</w:t>
      </w:r>
      <w:r w:rsidR="00A15DB4" w:rsidRPr="00B15171">
        <w:rPr>
          <w:rFonts w:ascii="Tahoma" w:hAnsi="Tahoma" w:cs="Tahoma"/>
          <w:i/>
          <w:sz w:val="20"/>
          <w:szCs w:val="20"/>
        </w:rPr>
        <w:t>”</w:t>
      </w:r>
    </w:p>
    <w:p w14:paraId="277A6E31" w14:textId="77777777" w:rsidR="00A15DB4" w:rsidRPr="00B15171" w:rsidRDefault="00A15DB4" w:rsidP="00B15171">
      <w:pPr>
        <w:spacing w:after="200" w:line="360" w:lineRule="auto"/>
        <w:jc w:val="both"/>
        <w:rPr>
          <w:rFonts w:ascii="Tahoma" w:hAnsi="Tahoma" w:cs="Tahoma"/>
          <w:sz w:val="20"/>
          <w:szCs w:val="20"/>
        </w:rPr>
      </w:pPr>
      <w:r w:rsidRPr="00B15171">
        <w:rPr>
          <w:rFonts w:ascii="Tahoma" w:hAnsi="Tahoma" w:cs="Tahoma"/>
          <w:sz w:val="20"/>
          <w:szCs w:val="20"/>
        </w:rPr>
        <w:t>La norma appare chiara, anche se si riferisce ai “</w:t>
      </w:r>
      <w:r w:rsidRPr="00B15171">
        <w:rPr>
          <w:rFonts w:ascii="Tahoma" w:hAnsi="Tahoma" w:cs="Tahoma"/>
          <w:i/>
          <w:sz w:val="20"/>
          <w:szCs w:val="20"/>
        </w:rPr>
        <w:t>bilanci non ancora approvati”</w:t>
      </w:r>
      <w:r w:rsidRPr="00B15171">
        <w:rPr>
          <w:rFonts w:ascii="Tahoma" w:hAnsi="Tahoma" w:cs="Tahoma"/>
          <w:sz w:val="20"/>
          <w:szCs w:val="20"/>
        </w:rPr>
        <w:t xml:space="preserve">, il che è abbastanza risibile dato che si tratta di una norma approvata il 17 luglio 2020, su bilanci che formavano </w:t>
      </w:r>
      <w:r w:rsidR="00DC1F66" w:rsidRPr="00B15171">
        <w:rPr>
          <w:rFonts w:ascii="Tahoma" w:hAnsi="Tahoma" w:cs="Tahoma"/>
          <w:sz w:val="20"/>
          <w:szCs w:val="20"/>
        </w:rPr>
        <w:t>oggetto delle assemblee che, per legge, si dovevano tenere entro il 28 giugno 2020.</w:t>
      </w:r>
    </w:p>
    <w:p w14:paraId="1EE2082C" w14:textId="5B3BF230" w:rsidR="00DC1F66" w:rsidRPr="00B15171" w:rsidRDefault="00DC1F66"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definitiva per il bilancio 2019 (per semplicità per il bilancio al 31/12/2019) l</w:t>
      </w:r>
      <w:r w:rsidR="005D1531" w:rsidRPr="00B15171">
        <w:rPr>
          <w:rFonts w:ascii="Tahoma" w:hAnsi="Tahoma" w:cs="Tahoma"/>
          <w:sz w:val="20"/>
          <w:szCs w:val="20"/>
        </w:rPr>
        <w:t>e</w:t>
      </w:r>
      <w:r w:rsidRPr="00B15171">
        <w:rPr>
          <w:rFonts w:ascii="Tahoma" w:hAnsi="Tahoma" w:cs="Tahoma"/>
          <w:sz w:val="20"/>
          <w:szCs w:val="20"/>
        </w:rPr>
        <w:t xml:space="preserve"> </w:t>
      </w:r>
      <w:r w:rsidR="005271D6" w:rsidRPr="00B15171">
        <w:rPr>
          <w:rFonts w:ascii="Tahoma" w:hAnsi="Tahoma" w:cs="Tahoma"/>
          <w:sz w:val="20"/>
          <w:szCs w:val="20"/>
        </w:rPr>
        <w:t xml:space="preserve">regole della </w:t>
      </w:r>
      <w:r w:rsidRPr="00B15171">
        <w:rPr>
          <w:rFonts w:ascii="Tahoma" w:hAnsi="Tahoma" w:cs="Tahoma"/>
          <w:sz w:val="20"/>
          <w:szCs w:val="20"/>
        </w:rPr>
        <w:t xml:space="preserve">deroga al principio di continuità </w:t>
      </w:r>
      <w:r w:rsidR="005271D6" w:rsidRPr="00B15171">
        <w:rPr>
          <w:rFonts w:ascii="Tahoma" w:hAnsi="Tahoma" w:cs="Tahoma"/>
          <w:sz w:val="20"/>
          <w:szCs w:val="20"/>
        </w:rPr>
        <w:t>sono le seguenti</w:t>
      </w:r>
      <w:r w:rsidRPr="00B15171">
        <w:rPr>
          <w:rFonts w:ascii="Tahoma" w:hAnsi="Tahoma" w:cs="Tahoma"/>
          <w:sz w:val="20"/>
          <w:szCs w:val="20"/>
        </w:rPr>
        <w:t>:</w:t>
      </w:r>
    </w:p>
    <w:p w14:paraId="2E2038F8" w14:textId="1A94E903"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la valutazione della continuità va fatta senza tenere conto degli eventi successivi al 31/12/2019</w:t>
      </w:r>
    </w:p>
    <w:p w14:paraId="25365A36" w14:textId="749A4A89"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Il bilancio può essere redatto con criteri di continuità se la continuità esisteva al 31/12/2019</w:t>
      </w:r>
    </w:p>
    <w:p w14:paraId="312F9479" w14:textId="1286A105"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 xml:space="preserve">in nota integrativa: le informazioni relative al presupposto della continuità aziendale sono fornite nelle politiche contabili </w:t>
      </w:r>
    </w:p>
    <w:p w14:paraId="095FAB0B" w14:textId="4CCC988A" w:rsidR="00312A65"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 xml:space="preserve">in nota integrativa ed in relazione sulla gestione: rischi e alle incertezze concernenti gli eventi successivi </w:t>
      </w:r>
    </w:p>
    <w:p w14:paraId="57530F7A" w14:textId="4B978883" w:rsidR="00A15DB4" w:rsidRPr="00312A65" w:rsidRDefault="00312A65">
      <w:pPr>
        <w:pStyle w:val="Paragrafoelenco"/>
        <w:numPr>
          <w:ilvl w:val="0"/>
          <w:numId w:val="15"/>
        </w:numPr>
        <w:spacing w:after="200" w:line="360" w:lineRule="auto"/>
        <w:ind w:left="709" w:hanging="349"/>
        <w:jc w:val="both"/>
        <w:rPr>
          <w:rFonts w:ascii="Tahoma" w:hAnsi="Tahoma" w:cs="Tahoma"/>
          <w:i/>
          <w:iCs/>
          <w:sz w:val="20"/>
          <w:szCs w:val="20"/>
        </w:rPr>
      </w:pPr>
      <w:r w:rsidRPr="00312A65">
        <w:rPr>
          <w:rFonts w:ascii="Tahoma" w:hAnsi="Tahoma" w:cs="Tahoma"/>
          <w:i/>
          <w:iCs/>
          <w:sz w:val="20"/>
          <w:szCs w:val="20"/>
        </w:rPr>
        <w:t>in nota integrativa: informazioni in merito alla capacità dell’azienda di continuare a costituire un complesso economico funzionante destinato alla produzione di reddito.</w:t>
      </w:r>
    </w:p>
    <w:p w14:paraId="14862F47" w14:textId="7A54B60D" w:rsidR="00B53286" w:rsidRPr="00B15171" w:rsidRDefault="00622ED9" w:rsidP="00B15171">
      <w:pPr>
        <w:spacing w:after="200" w:line="360" w:lineRule="auto"/>
        <w:jc w:val="both"/>
        <w:rPr>
          <w:rFonts w:ascii="Tahoma" w:hAnsi="Tahoma" w:cs="Tahoma"/>
          <w:sz w:val="20"/>
          <w:szCs w:val="20"/>
        </w:rPr>
      </w:pPr>
      <w:r w:rsidRPr="00B15171">
        <w:rPr>
          <w:rFonts w:ascii="Tahoma" w:hAnsi="Tahoma" w:cs="Tahoma"/>
          <w:sz w:val="20"/>
          <w:szCs w:val="20"/>
        </w:rPr>
        <w:t xml:space="preserve">Il </w:t>
      </w:r>
      <w:r w:rsidR="00B53286" w:rsidRPr="00B15171">
        <w:rPr>
          <w:rFonts w:ascii="Tahoma" w:hAnsi="Tahoma" w:cs="Tahoma"/>
          <w:sz w:val="20"/>
          <w:szCs w:val="20"/>
        </w:rPr>
        <w:t>secondo comma dell’articolo 38-</w:t>
      </w:r>
      <w:r w:rsidR="00B53286" w:rsidRPr="00B15171">
        <w:rPr>
          <w:rFonts w:ascii="Tahoma" w:hAnsi="Tahoma" w:cs="Tahoma"/>
          <w:i/>
          <w:sz w:val="20"/>
          <w:szCs w:val="20"/>
        </w:rPr>
        <w:t>quater</w:t>
      </w:r>
      <w:r w:rsidR="00B53286" w:rsidRPr="00B15171">
        <w:rPr>
          <w:rFonts w:ascii="Tahoma" w:hAnsi="Tahoma" w:cs="Tahoma"/>
          <w:sz w:val="20"/>
          <w:szCs w:val="20"/>
        </w:rPr>
        <w:t xml:space="preserve"> della L. 77/2020</w:t>
      </w:r>
      <w:r w:rsidRPr="00B15171">
        <w:rPr>
          <w:rFonts w:ascii="Tahoma" w:hAnsi="Tahoma" w:cs="Tahoma"/>
          <w:sz w:val="20"/>
          <w:szCs w:val="20"/>
        </w:rPr>
        <w:t xml:space="preserve"> regolava la continuità aziendale per l’esercizio 2020.</w:t>
      </w:r>
    </w:p>
    <w:p w14:paraId="28502D54" w14:textId="182ACD73" w:rsidR="00B53286" w:rsidRPr="00B15171"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t>Il testo è il seguente:</w:t>
      </w:r>
    </w:p>
    <w:p w14:paraId="2033B2A3" w14:textId="0F5CE395" w:rsidR="00B53286" w:rsidRPr="00B15171" w:rsidRDefault="00B53286" w:rsidP="00B15171">
      <w:pPr>
        <w:spacing w:after="200" w:line="360" w:lineRule="auto"/>
        <w:jc w:val="both"/>
        <w:rPr>
          <w:rFonts w:ascii="Tahoma" w:hAnsi="Tahoma" w:cs="Tahoma"/>
          <w:i/>
          <w:sz w:val="20"/>
          <w:szCs w:val="20"/>
        </w:rPr>
      </w:pPr>
      <w:r w:rsidRPr="00B15171">
        <w:rPr>
          <w:rFonts w:ascii="Tahoma" w:hAnsi="Tahoma" w:cs="Tahoma"/>
          <w:sz w:val="20"/>
          <w:szCs w:val="20"/>
        </w:rPr>
        <w:t>“</w:t>
      </w:r>
      <w:r w:rsidRPr="00B15171">
        <w:rPr>
          <w:rFonts w:ascii="Tahoma" w:hAnsi="Tahoma" w:cs="Tahoma"/>
          <w:i/>
          <w:sz w:val="20"/>
          <w:szCs w:val="20"/>
        </w:rPr>
        <w:t>Nella predisposizione del bilancio di esercizio in corso al 31 dicembre 2020, la valutazione delle voci e della prospettiva della continuazione dell’attività di cui all’articolo 2423 -bis , primo comma, numero 1), del codice civile può comunque essere effettuata sulla base delle risultanze dell’ultimo bilancio di esercizio chiuso entro il 23 febbraio 2020. Le informazioni relative al presupposto della continuità aziendale sono fornite nelle politiche contabili di cui all’articolo 2427, primo comma, numero 1), del codice civile anche mediante il richiamo delle risultanze del bilancio precedente. Restano ferme tutte le altre disposizioni relative alle informazioni da fornire nella nota integrativa e alla relazione sulla gestione, comprese quelle relative ai rischi e alle incertezze derivanti dagli eventi successivi, nonché alla capacità dell’azienda di continuare a costituire un complesso economico funzionante destinato alla produzione di reddito”.</w:t>
      </w:r>
    </w:p>
    <w:p w14:paraId="3CDA6929" w14:textId="26B4FBBA" w:rsidR="00996569"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t>Pertanto le previsioni per il bilancio 2020 (considerando per praticità i bilanci chiusi al 31/12/2020) sono le seguenti:</w:t>
      </w:r>
    </w:p>
    <w:p w14:paraId="0341A47A" w14:textId="77777777" w:rsid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Il bilancio 2020 può essere redatto nella prospettiva della continuazione dell’attività se la continuità esisteva nel bilancio 2019</w:t>
      </w:r>
    </w:p>
    <w:p w14:paraId="56C42A86" w14:textId="62FF8E20" w:rsidR="00312A65" w:rsidRP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 xml:space="preserve">Le informazioni relative al presupposto della continuità   </w:t>
      </w:r>
      <w:r w:rsidR="00AC4992" w:rsidRPr="00B15171">
        <w:rPr>
          <w:rFonts w:ascii="Tahoma" w:hAnsi="Tahoma" w:cs="Tahoma"/>
          <w:sz w:val="20"/>
          <w:szCs w:val="20"/>
        </w:rPr>
        <w:sym w:font="Wingdings" w:char="F0E0"/>
      </w:r>
      <w:r w:rsidRPr="00312A65">
        <w:rPr>
          <w:rFonts w:ascii="Tahoma" w:hAnsi="Tahoma" w:cs="Tahoma"/>
          <w:sz w:val="20"/>
          <w:szCs w:val="20"/>
        </w:rPr>
        <w:t xml:space="preserve">  in nota integrativa, nelle politiche contabili  </w:t>
      </w:r>
      <w:r w:rsidR="00AC4992" w:rsidRPr="00B15171">
        <w:rPr>
          <w:rFonts w:ascii="Tahoma" w:hAnsi="Tahoma" w:cs="Tahoma"/>
          <w:sz w:val="20"/>
          <w:szCs w:val="20"/>
        </w:rPr>
        <w:sym w:font="Wingdings" w:char="F0E0"/>
      </w:r>
      <w:r w:rsidRPr="00312A65">
        <w:rPr>
          <w:rFonts w:ascii="Tahoma" w:hAnsi="Tahoma" w:cs="Tahoma"/>
          <w:sz w:val="20"/>
          <w:szCs w:val="20"/>
        </w:rPr>
        <w:t xml:space="preserve">  anche mediante richiamo alle risultanze del bilancio 2019</w:t>
      </w:r>
    </w:p>
    <w:p w14:paraId="3EA03D68" w14:textId="37B1A424" w:rsidR="00312A65" w:rsidRP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 xml:space="preserve">In Nota integrativa e Relazione sulla gestione  </w:t>
      </w:r>
      <w:r w:rsidR="00AC4992" w:rsidRPr="00B15171">
        <w:rPr>
          <w:rFonts w:ascii="Tahoma" w:hAnsi="Tahoma" w:cs="Tahoma"/>
          <w:sz w:val="20"/>
          <w:szCs w:val="20"/>
        </w:rPr>
        <w:sym w:font="Wingdings" w:char="F0E0"/>
      </w:r>
      <w:r w:rsidRPr="00312A65">
        <w:rPr>
          <w:rFonts w:ascii="Tahoma" w:hAnsi="Tahoma" w:cs="Tahoma"/>
          <w:sz w:val="20"/>
          <w:szCs w:val="20"/>
        </w:rPr>
        <w:t xml:space="preserve">  informativa su rischi ed incertezze derivati dagli eventi successivi</w:t>
      </w:r>
    </w:p>
    <w:p w14:paraId="0829E09F" w14:textId="6CB7D9E5" w:rsidR="00312A65" w:rsidRPr="00312A65" w:rsidRDefault="00312A65">
      <w:pPr>
        <w:pStyle w:val="Paragrafoelenco"/>
        <w:numPr>
          <w:ilvl w:val="0"/>
          <w:numId w:val="15"/>
        </w:numPr>
        <w:spacing w:after="200" w:line="360" w:lineRule="auto"/>
        <w:ind w:left="851" w:hanging="491"/>
        <w:jc w:val="both"/>
        <w:rPr>
          <w:rFonts w:ascii="Tahoma" w:hAnsi="Tahoma" w:cs="Tahoma"/>
          <w:sz w:val="20"/>
          <w:szCs w:val="20"/>
        </w:rPr>
      </w:pPr>
      <w:r w:rsidRPr="00312A65">
        <w:rPr>
          <w:rFonts w:ascii="Tahoma" w:hAnsi="Tahoma" w:cs="Tahoma"/>
          <w:sz w:val="20"/>
          <w:szCs w:val="20"/>
        </w:rPr>
        <w:t xml:space="preserve">In Nota integrativa e Relazione sulla gestione  </w:t>
      </w:r>
      <w:r w:rsidR="00AC4992" w:rsidRPr="00B15171">
        <w:rPr>
          <w:rFonts w:ascii="Tahoma" w:hAnsi="Tahoma" w:cs="Tahoma"/>
          <w:sz w:val="20"/>
          <w:szCs w:val="20"/>
        </w:rPr>
        <w:sym w:font="Wingdings" w:char="F0E0"/>
      </w:r>
      <w:r w:rsidRPr="00312A65">
        <w:rPr>
          <w:rFonts w:ascii="Tahoma" w:hAnsi="Tahoma" w:cs="Tahoma"/>
          <w:sz w:val="20"/>
          <w:szCs w:val="20"/>
        </w:rPr>
        <w:t xml:space="preserve">  informativa sulla capacità della società di mantenere la continuità aziendale</w:t>
      </w:r>
    </w:p>
    <w:p w14:paraId="1DAD379D" w14:textId="0B1B30A3" w:rsidR="00B53286" w:rsidRPr="00B15171"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t>Quindi, anche per il bilancio 2020 esiste</w:t>
      </w:r>
      <w:r w:rsidR="00F8286E" w:rsidRPr="00B15171">
        <w:rPr>
          <w:rFonts w:ascii="Tahoma" w:hAnsi="Tahoma" w:cs="Tahoma"/>
          <w:sz w:val="20"/>
          <w:szCs w:val="20"/>
        </w:rPr>
        <w:t>va</w:t>
      </w:r>
      <w:r w:rsidRPr="00B15171">
        <w:rPr>
          <w:rFonts w:ascii="Tahoma" w:hAnsi="Tahoma" w:cs="Tahoma"/>
          <w:sz w:val="20"/>
          <w:szCs w:val="20"/>
        </w:rPr>
        <w:t xml:space="preserve"> una </w:t>
      </w:r>
      <w:r w:rsidRPr="00B15171">
        <w:rPr>
          <w:rFonts w:ascii="Tahoma" w:hAnsi="Tahoma" w:cs="Tahoma"/>
          <w:b/>
          <w:sz w:val="20"/>
          <w:szCs w:val="20"/>
        </w:rPr>
        <w:t>deroga</w:t>
      </w:r>
      <w:r w:rsidRPr="00B15171">
        <w:rPr>
          <w:rFonts w:ascii="Tahoma" w:hAnsi="Tahoma" w:cs="Tahoma"/>
          <w:sz w:val="20"/>
          <w:szCs w:val="20"/>
        </w:rPr>
        <w:t xml:space="preserve"> al principio di continuità. Il punto di riferimento per la valutazione che gli amministratori </w:t>
      </w:r>
      <w:r w:rsidR="00F8286E" w:rsidRPr="00B15171">
        <w:rPr>
          <w:rFonts w:ascii="Tahoma" w:hAnsi="Tahoma" w:cs="Tahoma"/>
          <w:sz w:val="20"/>
          <w:szCs w:val="20"/>
        </w:rPr>
        <w:t>doveva</w:t>
      </w:r>
      <w:r w:rsidRPr="00B15171">
        <w:rPr>
          <w:rFonts w:ascii="Tahoma" w:hAnsi="Tahoma" w:cs="Tahoma"/>
          <w:sz w:val="20"/>
          <w:szCs w:val="20"/>
        </w:rPr>
        <w:t xml:space="preserve">no operare in merito alla continuità aziendale </w:t>
      </w:r>
      <w:r w:rsidR="00F8286E" w:rsidRPr="00B15171">
        <w:rPr>
          <w:rFonts w:ascii="Tahoma" w:hAnsi="Tahoma" w:cs="Tahoma"/>
          <w:sz w:val="20"/>
          <w:szCs w:val="20"/>
        </w:rPr>
        <w:t>era</w:t>
      </w:r>
      <w:r w:rsidRPr="00B15171">
        <w:rPr>
          <w:rFonts w:ascii="Tahoma" w:hAnsi="Tahoma" w:cs="Tahoma"/>
          <w:sz w:val="20"/>
          <w:szCs w:val="20"/>
        </w:rPr>
        <w:t xml:space="preserve"> lo stesso del bilancio 2019 e cioè la data di riferimento dell’ultimo bilancio chiuso prima dell’inizio della pandemia e cioè prima del 23/2/2020.</w:t>
      </w:r>
    </w:p>
    <w:p w14:paraId="109D4776" w14:textId="2EB3943E" w:rsidR="00996569" w:rsidRDefault="00B53286"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Quindi per i bilanci 2020 per i quali non vi sarebbe prospettiva di continuità aziendale, sia in base alle informazioni esistenti al 31/12/2020, sia per gli eventi successivi che si verifichino tra il 31/12/2020 e la data di redazione del bilancio, </w:t>
      </w:r>
      <w:r w:rsidR="00F8286E" w:rsidRPr="00B15171">
        <w:rPr>
          <w:rFonts w:ascii="Tahoma" w:hAnsi="Tahoma" w:cs="Tahoma"/>
          <w:sz w:val="20"/>
          <w:szCs w:val="20"/>
        </w:rPr>
        <w:t>era</w:t>
      </w:r>
      <w:r w:rsidRPr="00B15171">
        <w:rPr>
          <w:rFonts w:ascii="Tahoma" w:hAnsi="Tahoma" w:cs="Tahoma"/>
          <w:sz w:val="20"/>
          <w:szCs w:val="20"/>
        </w:rPr>
        <w:t xml:space="preserve"> possibile comunque redigere bilanci nella prospettiva della continuazione dell’attività, se la continuità aziendale esisteva al 31/12/2019.</w:t>
      </w:r>
    </w:p>
    <w:tbl>
      <w:tblPr>
        <w:tblStyle w:val="Grigliatabella"/>
        <w:tblW w:w="0" w:type="auto"/>
        <w:tblLook w:val="04A0" w:firstRow="1" w:lastRow="0" w:firstColumn="1" w:lastColumn="0" w:noHBand="0" w:noVBand="1"/>
      </w:tblPr>
      <w:tblGrid>
        <w:gridCol w:w="9628"/>
      </w:tblGrid>
      <w:tr w:rsidR="00AC4992" w14:paraId="30090169" w14:textId="77777777" w:rsidTr="00AC4992">
        <w:tc>
          <w:tcPr>
            <w:tcW w:w="9628" w:type="dxa"/>
          </w:tcPr>
          <w:p w14:paraId="546B3625" w14:textId="27273D94" w:rsid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Se la continuità aziendale non esisteva al 31/12/2019 non è possibile usufruire della deroga.</w:t>
            </w:r>
          </w:p>
        </w:tc>
      </w:tr>
    </w:tbl>
    <w:p w14:paraId="5FDF12BE" w14:textId="77777777" w:rsidR="00AC4992" w:rsidRPr="00B15171" w:rsidRDefault="00AC4992" w:rsidP="00B15171">
      <w:pPr>
        <w:spacing w:after="200" w:line="360" w:lineRule="auto"/>
        <w:jc w:val="both"/>
        <w:rPr>
          <w:rFonts w:ascii="Tahoma" w:hAnsi="Tahoma" w:cs="Tahoma"/>
          <w:sz w:val="20"/>
          <w:szCs w:val="20"/>
        </w:rPr>
      </w:pPr>
    </w:p>
    <w:p w14:paraId="1B9FA33C" w14:textId="77777777" w:rsidR="008E7CD7" w:rsidRPr="00B15171" w:rsidRDefault="008E7CD7" w:rsidP="00B15171">
      <w:pPr>
        <w:spacing w:after="200" w:line="360" w:lineRule="auto"/>
        <w:jc w:val="both"/>
        <w:rPr>
          <w:rFonts w:ascii="Tahoma" w:hAnsi="Tahoma" w:cs="Tahoma"/>
          <w:sz w:val="20"/>
          <w:szCs w:val="20"/>
        </w:rPr>
      </w:pPr>
    </w:p>
    <w:p w14:paraId="561172E4" w14:textId="0EFA7671" w:rsidR="005A6078" w:rsidRPr="00B21B75" w:rsidRDefault="00B21B75" w:rsidP="00B21B75">
      <w:pPr>
        <w:pStyle w:val="Titolo2"/>
      </w:pPr>
      <w:bookmarkStart w:id="7" w:name="_Toc161309093"/>
      <w:r>
        <w:t>2</w:t>
      </w:r>
      <w:r w:rsidR="00975A6F" w:rsidRPr="00B15171">
        <w:t>.2</w:t>
      </w:r>
      <w:r w:rsidR="005A6078" w:rsidRPr="00B15171">
        <w:t xml:space="preserve"> Il Documento interpretativo n. 8 dell’OIC</w:t>
      </w:r>
      <w:bookmarkEnd w:id="7"/>
    </w:p>
    <w:p w14:paraId="76716B38" w14:textId="5A9043A4" w:rsidR="005A6078" w:rsidRPr="00B15171" w:rsidRDefault="005A6078" w:rsidP="00B15171">
      <w:pPr>
        <w:spacing w:after="200" w:line="360" w:lineRule="auto"/>
        <w:jc w:val="both"/>
        <w:rPr>
          <w:rFonts w:ascii="Tahoma" w:hAnsi="Tahoma" w:cs="Tahoma"/>
          <w:sz w:val="20"/>
          <w:szCs w:val="20"/>
        </w:rPr>
      </w:pPr>
      <w:r w:rsidRPr="00B15171">
        <w:rPr>
          <w:rFonts w:ascii="Tahoma" w:hAnsi="Tahoma" w:cs="Tahoma"/>
          <w:sz w:val="20"/>
          <w:szCs w:val="20"/>
        </w:rPr>
        <w:t>Il secondo comma dell’art. 38-</w:t>
      </w:r>
      <w:r w:rsidRPr="00B15171">
        <w:rPr>
          <w:rFonts w:ascii="Tahoma" w:hAnsi="Tahoma" w:cs="Tahoma"/>
          <w:i/>
          <w:sz w:val="20"/>
          <w:szCs w:val="20"/>
        </w:rPr>
        <w:t>quater</w:t>
      </w:r>
      <w:r w:rsidRPr="00B15171">
        <w:rPr>
          <w:rFonts w:ascii="Tahoma" w:hAnsi="Tahoma" w:cs="Tahoma"/>
          <w:sz w:val="20"/>
          <w:szCs w:val="20"/>
        </w:rPr>
        <w:t xml:space="preserve"> della L. 77/2020 ha formato oggetto di un </w:t>
      </w:r>
      <w:r w:rsidRPr="00B15171">
        <w:rPr>
          <w:rFonts w:ascii="Tahoma" w:hAnsi="Tahoma" w:cs="Tahoma"/>
          <w:b/>
          <w:sz w:val="20"/>
          <w:szCs w:val="20"/>
        </w:rPr>
        <w:t>Documento Interpretativo</w:t>
      </w:r>
      <w:r w:rsidR="00996569" w:rsidRPr="00B15171">
        <w:rPr>
          <w:rFonts w:ascii="Tahoma" w:hAnsi="Tahoma" w:cs="Tahoma"/>
          <w:b/>
          <w:sz w:val="20"/>
          <w:szCs w:val="20"/>
        </w:rPr>
        <w:t>, il n. 8</w:t>
      </w:r>
      <w:r w:rsidR="00996569" w:rsidRPr="00B15171">
        <w:rPr>
          <w:rFonts w:ascii="Tahoma" w:hAnsi="Tahoma" w:cs="Tahoma"/>
          <w:sz w:val="20"/>
          <w:szCs w:val="20"/>
        </w:rPr>
        <w:t>,</w:t>
      </w:r>
      <w:r w:rsidRPr="00B15171">
        <w:rPr>
          <w:rFonts w:ascii="Tahoma" w:hAnsi="Tahoma" w:cs="Tahoma"/>
          <w:sz w:val="20"/>
          <w:szCs w:val="20"/>
        </w:rPr>
        <w:t xml:space="preserve"> emesso dall’OIC</w:t>
      </w:r>
      <w:r w:rsidR="00067C91" w:rsidRPr="00B15171">
        <w:rPr>
          <w:rFonts w:ascii="Tahoma" w:hAnsi="Tahoma" w:cs="Tahoma"/>
          <w:sz w:val="20"/>
          <w:szCs w:val="20"/>
        </w:rPr>
        <w:t xml:space="preserve"> a marzo del 2021. </w:t>
      </w:r>
    </w:p>
    <w:p w14:paraId="782B2DBD" w14:textId="65F5F011" w:rsidR="005A6078" w:rsidRPr="00B15171" w:rsidRDefault="005A6078" w:rsidP="00B15171">
      <w:pPr>
        <w:spacing w:after="200" w:line="360" w:lineRule="auto"/>
        <w:jc w:val="both"/>
        <w:rPr>
          <w:rFonts w:ascii="Tahoma" w:hAnsi="Tahoma" w:cs="Tahoma"/>
          <w:sz w:val="20"/>
          <w:szCs w:val="20"/>
        </w:rPr>
      </w:pPr>
      <w:r w:rsidRPr="00B15171">
        <w:rPr>
          <w:rFonts w:ascii="Tahoma" w:hAnsi="Tahoma" w:cs="Tahoma"/>
          <w:sz w:val="20"/>
          <w:szCs w:val="20"/>
        </w:rPr>
        <w:t>Il documento innanzitutto precisa</w:t>
      </w:r>
      <w:r w:rsidR="00911DD2">
        <w:rPr>
          <w:rFonts w:ascii="Tahoma" w:hAnsi="Tahoma" w:cs="Tahoma"/>
          <w:sz w:val="20"/>
          <w:szCs w:val="20"/>
        </w:rPr>
        <w:t>va</w:t>
      </w:r>
      <w:r w:rsidRPr="00B15171">
        <w:rPr>
          <w:rFonts w:ascii="Tahoma" w:hAnsi="Tahoma" w:cs="Tahoma"/>
          <w:sz w:val="20"/>
          <w:szCs w:val="20"/>
        </w:rPr>
        <w:t xml:space="preserve"> che quella stabilita dal legislatore d’emergenza è una facoltà di </w:t>
      </w:r>
      <w:r w:rsidRPr="00B15171">
        <w:rPr>
          <w:rFonts w:ascii="Tahoma" w:hAnsi="Tahoma" w:cs="Tahoma"/>
          <w:b/>
          <w:sz w:val="20"/>
          <w:szCs w:val="20"/>
        </w:rPr>
        <w:t>deroga</w:t>
      </w:r>
      <w:r w:rsidRPr="00B15171">
        <w:rPr>
          <w:rFonts w:ascii="Tahoma" w:hAnsi="Tahoma" w:cs="Tahoma"/>
          <w:sz w:val="20"/>
          <w:szCs w:val="20"/>
        </w:rPr>
        <w:t xml:space="preserve"> al disposto del primo comma, n. 1) dell’art. 2423-</w:t>
      </w:r>
      <w:r w:rsidRPr="00B15171">
        <w:rPr>
          <w:rFonts w:ascii="Tahoma" w:hAnsi="Tahoma" w:cs="Tahoma"/>
          <w:i/>
          <w:sz w:val="20"/>
          <w:szCs w:val="20"/>
        </w:rPr>
        <w:t xml:space="preserve">bis </w:t>
      </w:r>
      <w:r w:rsidRPr="00B15171">
        <w:rPr>
          <w:rFonts w:ascii="Tahoma" w:hAnsi="Tahoma" w:cs="Tahoma"/>
          <w:sz w:val="20"/>
          <w:szCs w:val="20"/>
        </w:rPr>
        <w:t>c.c.</w:t>
      </w:r>
      <w:r w:rsidR="00734663" w:rsidRPr="00B15171">
        <w:rPr>
          <w:rFonts w:ascii="Tahoma" w:hAnsi="Tahoma" w:cs="Tahoma"/>
          <w:sz w:val="20"/>
          <w:szCs w:val="20"/>
        </w:rPr>
        <w:t>, cioè al principio di valutazione delle voci di bilancio nella prospettiva della continuazione dell’attività.</w:t>
      </w:r>
    </w:p>
    <w:p w14:paraId="2B86A92B" w14:textId="77777777"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La deroga si applica ai bilanci d’esercizio e consolidati delle società per le quali il quadro normativo sull’informazione finanziaria applicabile sia costituito dal codice civile e dai principi contabili OIC. Quindi, semplificando, la deroga non si applica a banche, assicurazioni e società quotate in borsa.</w:t>
      </w:r>
    </w:p>
    <w:p w14:paraId="681493AF" w14:textId="09CCEF74"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La deroga si applica</w:t>
      </w:r>
      <w:r w:rsidR="00911DD2">
        <w:rPr>
          <w:rFonts w:ascii="Tahoma" w:hAnsi="Tahoma" w:cs="Tahoma"/>
          <w:sz w:val="20"/>
          <w:szCs w:val="20"/>
        </w:rPr>
        <w:t>va</w:t>
      </w:r>
      <w:r w:rsidRPr="00B15171">
        <w:rPr>
          <w:rFonts w:ascii="Tahoma" w:hAnsi="Tahoma" w:cs="Tahoma"/>
          <w:sz w:val="20"/>
          <w:szCs w:val="20"/>
        </w:rPr>
        <w:t xml:space="preserve"> ai bilanci chiusi dopo il 23 febbraio 2020 e prima del 31 dicembre 2020 e a quelli in corso al 31 dicembre 2020.</w:t>
      </w:r>
    </w:p>
    <w:p w14:paraId="60C56182" w14:textId="399E9954" w:rsidR="005A6078"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Nelle successive esemplificazioni, per praticità, ci riferiremo sempre a bilanci che si chiudono il 31 dicembre 2020.</w:t>
      </w:r>
    </w:p>
    <w:p w14:paraId="0F3A901F" w14:textId="4027E625"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 xml:space="preserve">L’OIC precisa poi che nel bilancio 2020 la società </w:t>
      </w:r>
      <w:r w:rsidR="00F8286E" w:rsidRPr="00B15171">
        <w:rPr>
          <w:rFonts w:ascii="Tahoma" w:hAnsi="Tahoma" w:cs="Tahoma"/>
          <w:sz w:val="20"/>
          <w:szCs w:val="20"/>
        </w:rPr>
        <w:t>poteva</w:t>
      </w:r>
      <w:r w:rsidRPr="00B15171">
        <w:rPr>
          <w:rFonts w:ascii="Tahoma" w:hAnsi="Tahoma" w:cs="Tahoma"/>
          <w:sz w:val="20"/>
          <w:szCs w:val="20"/>
        </w:rPr>
        <w:t xml:space="preserve"> avvalersi della deroga se nel bilancio 2019 la valutazione delle voci </w:t>
      </w:r>
      <w:r w:rsidR="00F8286E" w:rsidRPr="00B15171">
        <w:rPr>
          <w:rFonts w:ascii="Tahoma" w:hAnsi="Tahoma" w:cs="Tahoma"/>
          <w:sz w:val="20"/>
          <w:szCs w:val="20"/>
        </w:rPr>
        <w:t>era</w:t>
      </w:r>
      <w:r w:rsidRPr="00B15171">
        <w:rPr>
          <w:rFonts w:ascii="Tahoma" w:hAnsi="Tahoma" w:cs="Tahoma"/>
          <w:sz w:val="20"/>
          <w:szCs w:val="20"/>
        </w:rPr>
        <w:t xml:space="preserve"> stata fatta nella prospettiva della continuazione dell’attività.</w:t>
      </w:r>
    </w:p>
    <w:p w14:paraId="54B7AB36" w14:textId="32C7A388" w:rsidR="00734663" w:rsidRPr="00B15171" w:rsidRDefault="00734663" w:rsidP="00B15171">
      <w:pPr>
        <w:spacing w:after="200" w:line="360" w:lineRule="auto"/>
        <w:jc w:val="both"/>
        <w:rPr>
          <w:rFonts w:ascii="Tahoma" w:hAnsi="Tahoma" w:cs="Tahoma"/>
          <w:sz w:val="20"/>
          <w:szCs w:val="20"/>
        </w:rPr>
      </w:pPr>
      <w:r w:rsidRPr="00B15171">
        <w:rPr>
          <w:rFonts w:ascii="Tahoma" w:hAnsi="Tahoma" w:cs="Tahoma"/>
          <w:sz w:val="20"/>
          <w:szCs w:val="20"/>
        </w:rPr>
        <w:t xml:space="preserve">Tale valutazione </w:t>
      </w:r>
      <w:r w:rsidR="00F8286E" w:rsidRPr="00B15171">
        <w:rPr>
          <w:rFonts w:ascii="Tahoma" w:hAnsi="Tahoma" w:cs="Tahoma"/>
          <w:sz w:val="20"/>
          <w:szCs w:val="20"/>
        </w:rPr>
        <w:t>doveva</w:t>
      </w:r>
      <w:r w:rsidR="007253AC" w:rsidRPr="00B15171">
        <w:rPr>
          <w:rFonts w:ascii="Tahoma" w:hAnsi="Tahoma" w:cs="Tahoma"/>
          <w:sz w:val="20"/>
          <w:szCs w:val="20"/>
        </w:rPr>
        <w:t xml:space="preserve"> essere stata eseguita applicando o il paragrafo 21 o il paragrafo 22 dell’OIC 11.</w:t>
      </w:r>
    </w:p>
    <w:p w14:paraId="3EB238A9" w14:textId="146D01E9" w:rsidR="006D1B09" w:rsidRPr="00B15171" w:rsidRDefault="007253AC" w:rsidP="00B15171">
      <w:pPr>
        <w:spacing w:after="200" w:line="360" w:lineRule="auto"/>
        <w:jc w:val="both"/>
        <w:rPr>
          <w:rFonts w:ascii="Tahoma" w:hAnsi="Tahoma" w:cs="Tahoma"/>
          <w:sz w:val="20"/>
          <w:szCs w:val="20"/>
        </w:rPr>
      </w:pPr>
      <w:r w:rsidRPr="00B15171">
        <w:rPr>
          <w:rFonts w:ascii="Tahoma" w:hAnsi="Tahoma" w:cs="Tahoma"/>
          <w:sz w:val="20"/>
          <w:szCs w:val="20"/>
        </w:rPr>
        <w:t>Il paragrafo 21 inerisce la circostanza che la valutazione delle voci va fatta tenendo conto che l’azienda costituisce un complesso economico funzionante destinato alla produzione del reddito ed il paragrafo 22</w:t>
      </w:r>
      <w:r w:rsidR="006D1B09" w:rsidRPr="00B15171">
        <w:rPr>
          <w:rFonts w:ascii="Tahoma" w:hAnsi="Tahoma" w:cs="Tahoma"/>
          <w:sz w:val="20"/>
          <w:szCs w:val="20"/>
        </w:rPr>
        <w:t xml:space="preserve"> stabilisce che gli amministratori devono effettuare una valutazione prospettica della capacità dell’azienda di continuare ad operare come un’entità in funzionamento per almeno 12 mesi dalla data di riferimento del bilancio. Il paragrafo 22 continua stabilendo che, nel caso siano state identificate significative incertezze sulla continuità, nella nota integrativa vanno fornite le informazioni ai fattori di rischio, alle assunzioni effettuate e alle incertezze identificate e, soprattutto, ai piani aziendal</w:t>
      </w:r>
      <w:r w:rsidR="00653B17" w:rsidRPr="00B15171">
        <w:rPr>
          <w:rFonts w:ascii="Tahoma" w:hAnsi="Tahoma" w:cs="Tahoma"/>
          <w:sz w:val="20"/>
          <w:szCs w:val="20"/>
        </w:rPr>
        <w:t>i</w:t>
      </w:r>
      <w:r w:rsidR="006D1B09" w:rsidRPr="00B15171">
        <w:rPr>
          <w:rFonts w:ascii="Tahoma" w:hAnsi="Tahoma" w:cs="Tahoma"/>
          <w:sz w:val="20"/>
          <w:szCs w:val="20"/>
        </w:rPr>
        <w:t xml:space="preserve"> per far fronte a rischi ed incertezze.</w:t>
      </w:r>
    </w:p>
    <w:p w14:paraId="69D8C1C7" w14:textId="6458DDFA" w:rsidR="000A5632" w:rsidRDefault="006D1B09" w:rsidP="00AC4992">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L’OIC aggiunge che la deroga nel bilancio 2020 </w:t>
      </w:r>
      <w:r w:rsidR="00054999" w:rsidRPr="00B15171">
        <w:rPr>
          <w:rFonts w:ascii="Tahoma" w:hAnsi="Tahoma" w:cs="Tahoma"/>
          <w:sz w:val="20"/>
          <w:szCs w:val="20"/>
        </w:rPr>
        <w:t>era</w:t>
      </w:r>
      <w:r w:rsidRPr="00B15171">
        <w:rPr>
          <w:rFonts w:ascii="Tahoma" w:hAnsi="Tahoma" w:cs="Tahoma"/>
          <w:sz w:val="20"/>
          <w:szCs w:val="20"/>
        </w:rPr>
        <w:t xml:space="preserve"> applicabile anche nel caso in cui la società si </w:t>
      </w:r>
      <w:r w:rsidR="00054999" w:rsidRPr="00B15171">
        <w:rPr>
          <w:rFonts w:ascii="Tahoma" w:hAnsi="Tahoma" w:cs="Tahoma"/>
          <w:sz w:val="20"/>
          <w:szCs w:val="20"/>
        </w:rPr>
        <w:t>fosse</w:t>
      </w:r>
      <w:r w:rsidRPr="00B15171">
        <w:rPr>
          <w:rFonts w:ascii="Tahoma" w:hAnsi="Tahoma" w:cs="Tahoma"/>
          <w:sz w:val="20"/>
          <w:szCs w:val="20"/>
        </w:rPr>
        <w:t xml:space="preserve"> avvalsa della deroga nel bilancio 2019, in applicazione del secondo comma</w:t>
      </w:r>
      <w:r w:rsidR="00996569" w:rsidRPr="00B15171">
        <w:rPr>
          <w:rFonts w:ascii="Tahoma" w:hAnsi="Tahoma" w:cs="Tahoma"/>
          <w:sz w:val="20"/>
          <w:szCs w:val="20"/>
        </w:rPr>
        <w:t xml:space="preserve"> dell’art. 7 del DL 23/2020 (con</w:t>
      </w:r>
      <w:r w:rsidRPr="00B15171">
        <w:rPr>
          <w:rFonts w:ascii="Tahoma" w:hAnsi="Tahoma" w:cs="Tahoma"/>
          <w:sz w:val="20"/>
          <w:szCs w:val="20"/>
        </w:rPr>
        <w:t>vertito nella L. 40/2020) e del primo comma dell’art. 38-</w:t>
      </w:r>
      <w:r w:rsidRPr="00B15171">
        <w:rPr>
          <w:rFonts w:ascii="Tahoma" w:hAnsi="Tahoma" w:cs="Tahoma"/>
          <w:i/>
          <w:sz w:val="20"/>
          <w:szCs w:val="20"/>
        </w:rPr>
        <w:t>quater</w:t>
      </w:r>
      <w:r w:rsidRPr="00B15171">
        <w:rPr>
          <w:rFonts w:ascii="Tahoma" w:hAnsi="Tahoma" w:cs="Tahoma"/>
          <w:sz w:val="20"/>
          <w:szCs w:val="20"/>
        </w:rPr>
        <w:t xml:space="preserve"> della L. 77/2020.</w:t>
      </w:r>
    </w:p>
    <w:p w14:paraId="4DA429BC" w14:textId="444017AB" w:rsidR="005271D6" w:rsidRDefault="006D1B09" w:rsidP="00B15171">
      <w:pPr>
        <w:spacing w:after="200" w:line="360" w:lineRule="auto"/>
        <w:jc w:val="both"/>
        <w:rPr>
          <w:rFonts w:ascii="Tahoma" w:hAnsi="Tahoma" w:cs="Tahoma"/>
          <w:sz w:val="20"/>
          <w:szCs w:val="20"/>
        </w:rPr>
      </w:pPr>
      <w:r w:rsidRPr="00B15171">
        <w:rPr>
          <w:rFonts w:ascii="Tahoma" w:hAnsi="Tahoma" w:cs="Tahoma"/>
          <w:sz w:val="20"/>
          <w:szCs w:val="20"/>
        </w:rPr>
        <w:t>Quindi:</w:t>
      </w:r>
    </w:p>
    <w:tbl>
      <w:tblPr>
        <w:tblStyle w:val="Grigliatabella"/>
        <w:tblW w:w="0" w:type="auto"/>
        <w:tblLook w:val="04A0" w:firstRow="1" w:lastRow="0" w:firstColumn="1" w:lastColumn="0" w:noHBand="0" w:noVBand="1"/>
      </w:tblPr>
      <w:tblGrid>
        <w:gridCol w:w="9628"/>
      </w:tblGrid>
      <w:tr w:rsidR="00AC4992" w14:paraId="2E7558D3" w14:textId="77777777" w:rsidTr="003B5138">
        <w:tc>
          <w:tcPr>
            <w:tcW w:w="9628" w:type="dxa"/>
          </w:tcPr>
          <w:p w14:paraId="5BCCB39C" w14:textId="77777777" w:rsidR="00AC4992" w:rsidRPr="00AC4992" w:rsidRDefault="00AC4992" w:rsidP="00AC4992">
            <w:pPr>
              <w:spacing w:before="60" w:after="60" w:line="326" w:lineRule="auto"/>
              <w:jc w:val="both"/>
              <w:rPr>
                <w:rFonts w:ascii="Tahoma" w:hAnsi="Tahoma" w:cs="Tahoma"/>
                <w:b/>
                <w:bCs/>
                <w:sz w:val="20"/>
                <w:szCs w:val="20"/>
              </w:rPr>
            </w:pPr>
            <w:r w:rsidRPr="00AC4992">
              <w:rPr>
                <w:rFonts w:ascii="Tahoma" w:hAnsi="Tahoma" w:cs="Tahoma"/>
                <w:b/>
                <w:bCs/>
                <w:sz w:val="20"/>
                <w:szCs w:val="20"/>
              </w:rPr>
              <w:t>SI’ ALLA DEROGA SE:</w:t>
            </w:r>
          </w:p>
          <w:p w14:paraId="57133FDD" w14:textId="772F455A" w:rsidR="00AC4992" w:rsidRPr="00AC4992" w:rsidRDefault="00AC4992" w:rsidP="00AC4992">
            <w:pPr>
              <w:spacing w:before="60" w:after="60" w:line="326" w:lineRule="auto"/>
              <w:jc w:val="both"/>
              <w:rPr>
                <w:rFonts w:ascii="Tahoma" w:hAnsi="Tahoma" w:cs="Tahoma"/>
                <w:sz w:val="20"/>
                <w:szCs w:val="20"/>
              </w:rPr>
            </w:pPr>
            <w:r w:rsidRPr="00B15171">
              <w:rPr>
                <w:rFonts w:ascii="Tahoma" w:hAnsi="Tahoma" w:cs="Tahoma"/>
                <w:sz w:val="20"/>
                <w:szCs w:val="20"/>
              </w:rPr>
              <w:sym w:font="Wingdings" w:char="F0E0"/>
            </w:r>
            <w:r w:rsidRPr="00AC4992">
              <w:rPr>
                <w:rFonts w:ascii="Tahoma" w:hAnsi="Tahoma" w:cs="Tahoma"/>
                <w:sz w:val="20"/>
                <w:szCs w:val="20"/>
              </w:rPr>
              <w:t xml:space="preserve"> La continuità esisteva al 31/12/2019</w:t>
            </w:r>
          </w:p>
          <w:p w14:paraId="1885D31C" w14:textId="549E20D2" w:rsidR="00AC4992" w:rsidRPr="00AC4992" w:rsidRDefault="00AC4992" w:rsidP="00AC4992">
            <w:pPr>
              <w:spacing w:before="60" w:after="60" w:line="326" w:lineRule="auto"/>
              <w:jc w:val="both"/>
              <w:rPr>
                <w:rFonts w:ascii="Tahoma" w:hAnsi="Tahoma" w:cs="Tahoma"/>
                <w:sz w:val="20"/>
                <w:szCs w:val="20"/>
              </w:rPr>
            </w:pPr>
            <w:r w:rsidRPr="00B15171">
              <w:rPr>
                <w:rFonts w:ascii="Tahoma" w:hAnsi="Tahoma" w:cs="Tahoma"/>
                <w:sz w:val="20"/>
                <w:szCs w:val="20"/>
              </w:rPr>
              <w:sym w:font="Wingdings" w:char="F0E0"/>
            </w:r>
            <w:r w:rsidRPr="00AC4992">
              <w:rPr>
                <w:rFonts w:ascii="Tahoma" w:hAnsi="Tahoma" w:cs="Tahoma"/>
                <w:sz w:val="20"/>
                <w:szCs w:val="20"/>
              </w:rPr>
              <w:t xml:space="preserve"> La continuità nel bilancio al 31/12/2019 esisteva con certezza alla chiusura dell’esercizio</w:t>
            </w:r>
          </w:p>
          <w:p w14:paraId="4693C83B" w14:textId="1F210B01" w:rsidR="00AC4992" w:rsidRDefault="00AC4992" w:rsidP="00AC4992">
            <w:pPr>
              <w:spacing w:before="60" w:after="60" w:line="326" w:lineRule="auto"/>
              <w:jc w:val="both"/>
              <w:rPr>
                <w:rFonts w:ascii="Tahoma" w:hAnsi="Tahoma" w:cs="Tahoma"/>
                <w:sz w:val="20"/>
                <w:szCs w:val="20"/>
              </w:rPr>
            </w:pPr>
            <w:r w:rsidRPr="00B15171">
              <w:rPr>
                <w:rFonts w:ascii="Tahoma" w:hAnsi="Tahoma" w:cs="Tahoma"/>
                <w:sz w:val="20"/>
                <w:szCs w:val="20"/>
              </w:rPr>
              <w:sym w:font="Wingdings" w:char="F0E0"/>
            </w:r>
            <w:r w:rsidRPr="00AC4992">
              <w:rPr>
                <w:rFonts w:ascii="Tahoma" w:hAnsi="Tahoma" w:cs="Tahoma"/>
                <w:sz w:val="20"/>
                <w:szCs w:val="20"/>
              </w:rPr>
              <w:t xml:space="preserve"> La continuità nel bilancio al 31/12/2019 esisteva al 31/12/2019, ma poteva non essere più esistente in conseguenza degli eventi successivi al 31/12/2019</w:t>
            </w:r>
          </w:p>
        </w:tc>
      </w:tr>
    </w:tbl>
    <w:p w14:paraId="41603ED6" w14:textId="77777777" w:rsidR="00AC4992" w:rsidRPr="00B15171" w:rsidRDefault="00AC4992" w:rsidP="00B15171">
      <w:pPr>
        <w:spacing w:after="200" w:line="360" w:lineRule="auto"/>
        <w:jc w:val="both"/>
        <w:rPr>
          <w:rFonts w:ascii="Tahoma" w:hAnsi="Tahoma" w:cs="Tahoma"/>
          <w:sz w:val="20"/>
          <w:szCs w:val="20"/>
        </w:rPr>
      </w:pPr>
    </w:p>
    <w:p w14:paraId="7EFA2922" w14:textId="716D7C03" w:rsidR="007253AC" w:rsidRPr="00B15171" w:rsidRDefault="008A2943" w:rsidP="00B15171">
      <w:pPr>
        <w:spacing w:after="200" w:line="360" w:lineRule="auto"/>
        <w:jc w:val="both"/>
        <w:rPr>
          <w:rFonts w:ascii="Tahoma" w:hAnsi="Tahoma" w:cs="Tahoma"/>
          <w:sz w:val="20"/>
          <w:szCs w:val="20"/>
        </w:rPr>
      </w:pPr>
      <w:r w:rsidRPr="00B15171">
        <w:rPr>
          <w:rFonts w:ascii="Tahoma" w:hAnsi="Tahoma" w:cs="Tahoma"/>
          <w:sz w:val="20"/>
          <w:szCs w:val="20"/>
        </w:rPr>
        <w:t xml:space="preserve">Non </w:t>
      </w:r>
      <w:r w:rsidR="00054999" w:rsidRPr="00B15171">
        <w:rPr>
          <w:rFonts w:ascii="Tahoma" w:hAnsi="Tahoma" w:cs="Tahoma"/>
          <w:sz w:val="20"/>
          <w:szCs w:val="20"/>
        </w:rPr>
        <w:t>era</w:t>
      </w:r>
      <w:r w:rsidRPr="00B15171">
        <w:rPr>
          <w:rFonts w:ascii="Tahoma" w:hAnsi="Tahoma" w:cs="Tahoma"/>
          <w:sz w:val="20"/>
          <w:szCs w:val="20"/>
        </w:rPr>
        <w:t xml:space="preserve"> invece possibile usufruire della deroga se al 31/12/2019 la società si trovava in una delle situazioni previste dai paragrafi 23 e 24 del Principio Contabile OIC 11</w:t>
      </w:r>
    </w:p>
    <w:p w14:paraId="1A475E83" w14:textId="519FE95A" w:rsidR="00F75BFD" w:rsidRPr="00B15171" w:rsidRDefault="008A2943" w:rsidP="00B15171">
      <w:pPr>
        <w:spacing w:after="200" w:line="360" w:lineRule="auto"/>
        <w:jc w:val="both"/>
        <w:rPr>
          <w:rFonts w:ascii="Tahoma" w:hAnsi="Tahoma" w:cs="Tahoma"/>
          <w:sz w:val="20"/>
          <w:szCs w:val="20"/>
        </w:rPr>
      </w:pPr>
      <w:r w:rsidRPr="00B15171">
        <w:rPr>
          <w:rFonts w:ascii="Tahoma" w:hAnsi="Tahoma" w:cs="Tahoma"/>
          <w:sz w:val="20"/>
          <w:szCs w:val="20"/>
        </w:rPr>
        <w:t xml:space="preserve">Come già indicato, il paragrafo 23 inerisce la fattispecie in cui gli amministratori constatano che nell’arco temporale di riferimento non vi siano alternative ragionevoli alla cessazione dell’attività ma non si ancora verificata una delle cause di scioglimento previste dal codice civile, mentre il paragrafo 24 inerisce la fattispecie in cui, non solo gli amministratori constatano che nell’arco temporale di riferimento non vi siano alternative ragionevoli alla cessazione dell’attività ma </w:t>
      </w:r>
      <w:r w:rsidR="00F75BFD" w:rsidRPr="00B15171">
        <w:rPr>
          <w:rFonts w:ascii="Tahoma" w:hAnsi="Tahoma" w:cs="Tahoma"/>
          <w:sz w:val="20"/>
          <w:szCs w:val="20"/>
        </w:rPr>
        <w:t xml:space="preserve">si sia anche </w:t>
      </w:r>
      <w:r w:rsidRPr="00B15171">
        <w:rPr>
          <w:rFonts w:ascii="Tahoma" w:hAnsi="Tahoma" w:cs="Tahoma"/>
          <w:sz w:val="20"/>
          <w:szCs w:val="20"/>
        </w:rPr>
        <w:t>verificata una delle cause di scioglimento previste dal codice civile</w:t>
      </w:r>
      <w:r w:rsidR="00F75BFD" w:rsidRPr="00B15171">
        <w:rPr>
          <w:rFonts w:ascii="Tahoma" w:hAnsi="Tahoma" w:cs="Tahoma"/>
          <w:sz w:val="20"/>
          <w:szCs w:val="20"/>
        </w:rPr>
        <w:t>.</w:t>
      </w:r>
    </w:p>
    <w:p w14:paraId="3F017632" w14:textId="77777777" w:rsidR="00F75BFD" w:rsidRDefault="00F75BFD" w:rsidP="00B15171">
      <w:pPr>
        <w:spacing w:after="200" w:line="360" w:lineRule="auto"/>
        <w:jc w:val="both"/>
        <w:rPr>
          <w:rFonts w:ascii="Tahoma" w:hAnsi="Tahoma" w:cs="Tahoma"/>
          <w:sz w:val="20"/>
          <w:szCs w:val="20"/>
        </w:rPr>
      </w:pPr>
      <w:r w:rsidRPr="00B15171">
        <w:rPr>
          <w:rFonts w:ascii="Tahoma" w:hAnsi="Tahoma" w:cs="Tahoma"/>
          <w:sz w:val="20"/>
          <w:szCs w:val="20"/>
        </w:rPr>
        <w:t>Quindi:</w:t>
      </w:r>
    </w:p>
    <w:tbl>
      <w:tblPr>
        <w:tblStyle w:val="Grigliatabella"/>
        <w:tblW w:w="0" w:type="auto"/>
        <w:tblLook w:val="04A0" w:firstRow="1" w:lastRow="0" w:firstColumn="1" w:lastColumn="0" w:noHBand="0" w:noVBand="1"/>
      </w:tblPr>
      <w:tblGrid>
        <w:gridCol w:w="9628"/>
      </w:tblGrid>
      <w:tr w:rsidR="00AC4992" w14:paraId="2DCE16EF" w14:textId="77777777" w:rsidTr="003B5138">
        <w:tc>
          <w:tcPr>
            <w:tcW w:w="9628" w:type="dxa"/>
          </w:tcPr>
          <w:p w14:paraId="643D2301" w14:textId="77777777" w:rsidR="00AC4992" w:rsidRPr="00AC4992" w:rsidRDefault="00AC4992" w:rsidP="00AC4992">
            <w:pPr>
              <w:spacing w:before="60" w:after="60" w:line="326" w:lineRule="auto"/>
              <w:jc w:val="both"/>
              <w:rPr>
                <w:rFonts w:ascii="Tahoma" w:hAnsi="Tahoma" w:cs="Tahoma"/>
                <w:b/>
                <w:bCs/>
                <w:sz w:val="20"/>
                <w:szCs w:val="20"/>
              </w:rPr>
            </w:pPr>
            <w:r w:rsidRPr="00AC4992">
              <w:rPr>
                <w:rFonts w:ascii="Tahoma" w:hAnsi="Tahoma" w:cs="Tahoma"/>
                <w:b/>
                <w:bCs/>
                <w:sz w:val="20"/>
                <w:szCs w:val="20"/>
              </w:rPr>
              <w:t>NO ALLA DEROGA SE:</w:t>
            </w:r>
          </w:p>
          <w:p w14:paraId="36A33251" w14:textId="09A98BD6" w:rsidR="00AC4992" w:rsidRPr="00AC4992" w:rsidRDefault="00AC4992" w:rsidP="00AC4992">
            <w:pPr>
              <w:spacing w:before="60" w:after="60" w:line="326" w:lineRule="auto"/>
              <w:jc w:val="both"/>
              <w:rPr>
                <w:rFonts w:ascii="Tahoma" w:hAnsi="Tahoma" w:cs="Tahoma"/>
                <w:sz w:val="20"/>
                <w:szCs w:val="20"/>
              </w:rPr>
            </w:pPr>
            <w:r w:rsidRPr="00B15171">
              <w:rPr>
                <w:rFonts w:ascii="Tahoma" w:hAnsi="Tahoma" w:cs="Tahoma"/>
                <w:sz w:val="20"/>
                <w:szCs w:val="20"/>
              </w:rPr>
              <w:sym w:font="Wingdings" w:char="F0E0"/>
            </w:r>
            <w:r>
              <w:rPr>
                <w:rFonts w:ascii="Tahoma" w:hAnsi="Tahoma" w:cs="Tahoma"/>
                <w:sz w:val="20"/>
                <w:szCs w:val="20"/>
              </w:rPr>
              <w:t xml:space="preserve"> </w:t>
            </w:r>
            <w:r w:rsidRPr="00AC4992">
              <w:rPr>
                <w:rFonts w:ascii="Tahoma" w:hAnsi="Tahoma" w:cs="Tahoma"/>
                <w:sz w:val="20"/>
                <w:szCs w:val="20"/>
              </w:rPr>
              <w:t>al 31/12/2019 gli amministratori avevano constatato come non vi fossero ragionevoli alternative alla cessazione dell’attività.</w:t>
            </w:r>
          </w:p>
        </w:tc>
      </w:tr>
    </w:tbl>
    <w:p w14:paraId="1DFC8DC1" w14:textId="77777777" w:rsidR="00F75BFD" w:rsidRPr="00B15171" w:rsidRDefault="00F75BFD" w:rsidP="00B15171">
      <w:pPr>
        <w:spacing w:after="200" w:line="360" w:lineRule="auto"/>
        <w:jc w:val="both"/>
        <w:rPr>
          <w:rFonts w:ascii="Tahoma" w:hAnsi="Tahoma" w:cs="Tahoma"/>
          <w:sz w:val="20"/>
          <w:szCs w:val="20"/>
        </w:rPr>
      </w:pPr>
    </w:p>
    <w:p w14:paraId="4D0B2AA7" w14:textId="7EC8050C" w:rsidR="00E25345" w:rsidRPr="00B21B75" w:rsidRDefault="00F75BFD" w:rsidP="00B15171">
      <w:pPr>
        <w:spacing w:after="200" w:line="360" w:lineRule="auto"/>
        <w:jc w:val="both"/>
        <w:rPr>
          <w:rFonts w:ascii="Tahoma" w:hAnsi="Tahoma" w:cs="Tahoma"/>
          <w:sz w:val="20"/>
          <w:szCs w:val="20"/>
        </w:rPr>
      </w:pPr>
      <w:r w:rsidRPr="00B15171">
        <w:rPr>
          <w:rFonts w:ascii="Tahoma" w:hAnsi="Tahoma" w:cs="Tahoma"/>
          <w:sz w:val="20"/>
          <w:szCs w:val="20"/>
        </w:rPr>
        <w:t>L’OIC precisa che nel caso in cui la società si avvalga della deroga</w:t>
      </w:r>
      <w:r w:rsidR="00054999" w:rsidRPr="00B15171">
        <w:rPr>
          <w:rFonts w:ascii="Tahoma" w:hAnsi="Tahoma" w:cs="Tahoma"/>
          <w:sz w:val="20"/>
          <w:szCs w:val="20"/>
        </w:rPr>
        <w:t>,</w:t>
      </w:r>
      <w:r w:rsidRPr="00B15171">
        <w:rPr>
          <w:rFonts w:ascii="Tahoma" w:hAnsi="Tahoma" w:cs="Tahoma"/>
          <w:sz w:val="20"/>
          <w:szCs w:val="20"/>
        </w:rPr>
        <w:t xml:space="preserve"> il bilancio va redatto applicando tutti i principi contabili in vigore, con l’eccezione dei paragrafi 23 e 24  del Principio contabile OIC 11, appena citati e del paragrafo 59 c) del Principio Contabile OIC 29, cioè di quel paragrafo che tratta dei fatti e delle circostanze che si verificano dopo la chiusura dell’esercizio e che hanno effetto sulla continuità aziendale.</w:t>
      </w:r>
    </w:p>
    <w:p w14:paraId="428612F1" w14:textId="1A0F03A2" w:rsidR="00734663" w:rsidRPr="00B15171" w:rsidRDefault="00F75BFD" w:rsidP="00B15171">
      <w:pPr>
        <w:spacing w:after="200" w:line="360" w:lineRule="auto"/>
        <w:jc w:val="both"/>
        <w:rPr>
          <w:rFonts w:ascii="Tahoma" w:hAnsi="Tahoma" w:cs="Tahoma"/>
          <w:b/>
          <w:sz w:val="20"/>
          <w:szCs w:val="20"/>
        </w:rPr>
      </w:pPr>
      <w:r w:rsidRPr="00B15171">
        <w:rPr>
          <w:rFonts w:ascii="Tahoma" w:hAnsi="Tahoma" w:cs="Tahoma"/>
          <w:b/>
          <w:sz w:val="20"/>
          <w:szCs w:val="20"/>
        </w:rPr>
        <w:t>Cosa va in nota integrativa ed in relazione sulla gestione?</w:t>
      </w:r>
    </w:p>
    <w:p w14:paraId="2C917CAC" w14:textId="77777777" w:rsidR="00F75BFD" w:rsidRPr="00B15171" w:rsidRDefault="00F75BFD" w:rsidP="00B15171">
      <w:pPr>
        <w:spacing w:after="200" w:line="360" w:lineRule="auto"/>
        <w:jc w:val="both"/>
        <w:rPr>
          <w:rFonts w:ascii="Tahoma" w:hAnsi="Tahoma" w:cs="Tahoma"/>
          <w:sz w:val="20"/>
          <w:szCs w:val="20"/>
        </w:rPr>
      </w:pPr>
      <w:r w:rsidRPr="00B15171">
        <w:rPr>
          <w:rFonts w:ascii="Tahoma" w:hAnsi="Tahoma" w:cs="Tahoma"/>
          <w:sz w:val="20"/>
          <w:szCs w:val="20"/>
        </w:rPr>
        <w:t>Innanzitutto la società che si avvale della deroga fornisce informazioni sulla scelta fatta all’interno delle politiche contabili ai sensi dell’art. 2427, punto 1) c.c..</w:t>
      </w:r>
    </w:p>
    <w:p w14:paraId="1AE1E948" w14:textId="65C7B208"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t>Il documento interpretativo insiste correttamente sulla necessità di una compiuta e complessiva informativa in sede di nota integrativa, comprendendo anche l’analisi dell’impatto</w:t>
      </w:r>
      <w:r w:rsidR="00E2226C" w:rsidRPr="00B15171">
        <w:rPr>
          <w:rFonts w:ascii="Tahoma" w:hAnsi="Tahoma" w:cs="Tahoma"/>
          <w:sz w:val="20"/>
          <w:szCs w:val="20"/>
        </w:rPr>
        <w:t xml:space="preserve"> della pandemia</w:t>
      </w:r>
      <w:r w:rsidRPr="00B15171">
        <w:rPr>
          <w:rFonts w:ascii="Tahoma" w:hAnsi="Tahoma" w:cs="Tahoma"/>
          <w:sz w:val="20"/>
          <w:szCs w:val="20"/>
        </w:rPr>
        <w:t xml:space="preserve"> sulla società.</w:t>
      </w:r>
    </w:p>
    <w:p w14:paraId="67BF25C7" w14:textId="186FD9AC"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nota integrativa, mutuando quanto specificato nel più volte richiamato paragrafo 22 del Principio Contabile OIC 22, la società d</w:t>
      </w:r>
      <w:r w:rsidR="00054999" w:rsidRPr="00B15171">
        <w:rPr>
          <w:rFonts w:ascii="Tahoma" w:hAnsi="Tahoma" w:cs="Tahoma"/>
          <w:sz w:val="20"/>
          <w:szCs w:val="20"/>
        </w:rPr>
        <w:t>oveva</w:t>
      </w:r>
      <w:r w:rsidRPr="00B15171">
        <w:rPr>
          <w:rFonts w:ascii="Tahoma" w:hAnsi="Tahoma" w:cs="Tahoma"/>
          <w:sz w:val="20"/>
          <w:szCs w:val="20"/>
        </w:rPr>
        <w:t xml:space="preserve"> descrivere le significative incertezze in merito alla capacità dell’azienda di continuare ad operare come un complesso economico funzionante destinato alla produzione di reddito</w:t>
      </w:r>
      <w:r w:rsidR="00E2226C" w:rsidRPr="00B15171">
        <w:rPr>
          <w:rFonts w:ascii="Tahoma" w:hAnsi="Tahoma" w:cs="Tahoma"/>
          <w:sz w:val="20"/>
          <w:szCs w:val="20"/>
        </w:rPr>
        <w:t>,</w:t>
      </w:r>
      <w:r w:rsidRPr="00B15171">
        <w:rPr>
          <w:rFonts w:ascii="Tahoma" w:hAnsi="Tahoma" w:cs="Tahoma"/>
          <w:sz w:val="20"/>
          <w:szCs w:val="20"/>
        </w:rPr>
        <w:t xml:space="preserve"> per </w:t>
      </w:r>
      <w:r w:rsidR="00E2226C" w:rsidRPr="00B15171">
        <w:rPr>
          <w:rFonts w:ascii="Tahoma" w:hAnsi="Tahoma" w:cs="Tahoma"/>
          <w:sz w:val="20"/>
          <w:szCs w:val="20"/>
        </w:rPr>
        <w:t xml:space="preserve">un periodo di </w:t>
      </w:r>
      <w:r w:rsidRPr="00B15171">
        <w:rPr>
          <w:rFonts w:ascii="Tahoma" w:hAnsi="Tahoma" w:cs="Tahoma"/>
          <w:sz w:val="20"/>
          <w:szCs w:val="20"/>
        </w:rPr>
        <w:t>almeno 12 mesi dal 31/12/2020.</w:t>
      </w:r>
    </w:p>
    <w:p w14:paraId="2B192D18" w14:textId="0CBC275F"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t xml:space="preserve">Quindi, in nota integrativa </w:t>
      </w:r>
      <w:r w:rsidR="00054999" w:rsidRPr="00B15171">
        <w:rPr>
          <w:rFonts w:ascii="Tahoma" w:hAnsi="Tahoma" w:cs="Tahoma"/>
          <w:sz w:val="20"/>
          <w:szCs w:val="20"/>
        </w:rPr>
        <w:t>andavano</w:t>
      </w:r>
      <w:r w:rsidRPr="00B15171">
        <w:rPr>
          <w:rFonts w:ascii="Tahoma" w:hAnsi="Tahoma" w:cs="Tahoma"/>
          <w:sz w:val="20"/>
          <w:szCs w:val="20"/>
        </w:rPr>
        <w:t xml:space="preserve"> le informazioni</w:t>
      </w:r>
    </w:p>
    <w:p w14:paraId="7FE3B779"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sui fattori di rischio</w:t>
      </w:r>
    </w:p>
    <w:p w14:paraId="5E02A147"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sulle assunzioni effettuate</w:t>
      </w:r>
    </w:p>
    <w:p w14:paraId="25F2189B"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sulle incertezze identificate</w:t>
      </w:r>
    </w:p>
    <w:p w14:paraId="53A6B6CB"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sui piani aziendali futuri per far fronte ai rischi e alle incertezze</w:t>
      </w:r>
    </w:p>
    <w:p w14:paraId="3DBF6456" w14:textId="77777777" w:rsidR="00582B43" w:rsidRPr="00B21B75" w:rsidRDefault="00582B43">
      <w:pPr>
        <w:pStyle w:val="Paragrafoelenco"/>
        <w:numPr>
          <w:ilvl w:val="0"/>
          <w:numId w:val="16"/>
        </w:numPr>
        <w:spacing w:after="200" w:line="360" w:lineRule="auto"/>
        <w:ind w:left="709"/>
        <w:jc w:val="both"/>
        <w:rPr>
          <w:rFonts w:ascii="Tahoma" w:hAnsi="Tahoma" w:cs="Tahoma"/>
          <w:color w:val="000000"/>
          <w:sz w:val="20"/>
          <w:szCs w:val="20"/>
        </w:rPr>
      </w:pPr>
      <w:r w:rsidRPr="00B21B75">
        <w:rPr>
          <w:rFonts w:ascii="Tahoma" w:hAnsi="Tahoma" w:cs="Tahoma"/>
          <w:color w:val="000000"/>
          <w:sz w:val="20"/>
          <w:szCs w:val="20"/>
        </w:rPr>
        <w:t>sulle ragioni che qualificano come significative le incertezze esposte e sulle ricadute che possono avere sulla continuità aziendale</w:t>
      </w:r>
    </w:p>
    <w:p w14:paraId="727901DE" w14:textId="10301A99" w:rsidR="00582B43" w:rsidRPr="00B15171" w:rsidRDefault="00582B43" w:rsidP="00B15171">
      <w:pPr>
        <w:spacing w:after="200" w:line="360" w:lineRule="auto"/>
        <w:jc w:val="both"/>
        <w:rPr>
          <w:rFonts w:ascii="Tahoma" w:hAnsi="Tahoma" w:cs="Tahoma"/>
          <w:sz w:val="20"/>
          <w:szCs w:val="20"/>
        </w:rPr>
      </w:pPr>
      <w:r w:rsidRPr="00B15171">
        <w:rPr>
          <w:rFonts w:ascii="Tahoma" w:hAnsi="Tahoma" w:cs="Tahoma"/>
          <w:sz w:val="20"/>
          <w:szCs w:val="20"/>
        </w:rPr>
        <w:t xml:space="preserve">Il documento interpretativo chiude specificando che </w:t>
      </w:r>
      <w:r w:rsidR="00054999" w:rsidRPr="00B15171">
        <w:rPr>
          <w:rFonts w:ascii="Tahoma" w:hAnsi="Tahoma" w:cs="Tahoma"/>
          <w:sz w:val="20"/>
          <w:szCs w:val="20"/>
        </w:rPr>
        <w:t xml:space="preserve">se </w:t>
      </w:r>
      <w:r w:rsidRPr="00B15171">
        <w:rPr>
          <w:rFonts w:ascii="Tahoma" w:hAnsi="Tahoma" w:cs="Tahoma"/>
          <w:sz w:val="20"/>
          <w:szCs w:val="20"/>
        </w:rPr>
        <w:t>nei 12 mesi successivi al 31/12/2020 non si preved</w:t>
      </w:r>
      <w:r w:rsidR="00054999" w:rsidRPr="00B15171">
        <w:rPr>
          <w:rFonts w:ascii="Tahoma" w:hAnsi="Tahoma" w:cs="Tahoma"/>
          <w:sz w:val="20"/>
          <w:szCs w:val="20"/>
        </w:rPr>
        <w:t>essero</w:t>
      </w:r>
      <w:r w:rsidRPr="00B15171">
        <w:rPr>
          <w:rFonts w:ascii="Tahoma" w:hAnsi="Tahoma" w:cs="Tahoma"/>
          <w:sz w:val="20"/>
          <w:szCs w:val="20"/>
        </w:rPr>
        <w:t xml:space="preserve"> ragionevoli alternative alla cessazione dell’attività, nella nota integrativa </w:t>
      </w:r>
      <w:r w:rsidR="00054999" w:rsidRPr="00B15171">
        <w:rPr>
          <w:rFonts w:ascii="Tahoma" w:hAnsi="Tahoma" w:cs="Tahoma"/>
          <w:sz w:val="20"/>
          <w:szCs w:val="20"/>
        </w:rPr>
        <w:t xml:space="preserve">doveva </w:t>
      </w:r>
      <w:r w:rsidRPr="00B15171">
        <w:rPr>
          <w:rFonts w:ascii="Tahoma" w:hAnsi="Tahoma" w:cs="Tahoma"/>
          <w:sz w:val="20"/>
          <w:szCs w:val="20"/>
        </w:rPr>
        <w:t>essere data informativa sulla situazione e sui prevedibili effetti sulla situazione patrimoniale ed economica della società.</w:t>
      </w:r>
    </w:p>
    <w:p w14:paraId="4B7CEBFD" w14:textId="255B20E3" w:rsidR="0071176A" w:rsidRPr="00B15171" w:rsidRDefault="0071176A" w:rsidP="00B15171">
      <w:pPr>
        <w:spacing w:after="200" w:line="360" w:lineRule="auto"/>
        <w:jc w:val="both"/>
        <w:rPr>
          <w:rFonts w:ascii="Tahoma" w:hAnsi="Tahoma" w:cs="Tahoma"/>
          <w:sz w:val="20"/>
          <w:szCs w:val="20"/>
        </w:rPr>
      </w:pPr>
    </w:p>
    <w:p w14:paraId="3C0A777D" w14:textId="77777777" w:rsidR="00B21B75" w:rsidRDefault="00B21B75" w:rsidP="00B15171">
      <w:pPr>
        <w:spacing w:after="200" w:line="360" w:lineRule="auto"/>
        <w:jc w:val="both"/>
        <w:rPr>
          <w:rFonts w:ascii="Tahoma" w:hAnsi="Tahoma" w:cs="Tahoma"/>
          <w:b/>
          <w:bCs/>
          <w:sz w:val="20"/>
          <w:szCs w:val="20"/>
        </w:rPr>
        <w:sectPr w:rsidR="00B21B75" w:rsidSect="00CD27CA">
          <w:pgSz w:w="11906" w:h="16838" w:code="9"/>
          <w:pgMar w:top="1418" w:right="1134" w:bottom="1134" w:left="1134" w:header="709" w:footer="567" w:gutter="0"/>
          <w:cols w:space="708"/>
          <w:titlePg/>
          <w:docGrid w:linePitch="360"/>
        </w:sectPr>
      </w:pPr>
    </w:p>
    <w:p w14:paraId="006C4857" w14:textId="3860EDD5" w:rsidR="00287DC5" w:rsidRPr="00B15171" w:rsidRDefault="00AC4992" w:rsidP="00AC4992">
      <w:pPr>
        <w:pStyle w:val="Titolo1"/>
        <w:ind w:left="0" w:firstLine="0"/>
      </w:pPr>
      <w:bookmarkStart w:id="8" w:name="_Toc161309094"/>
      <w:r w:rsidRPr="00B15171">
        <w:rPr>
          <w:rFonts w:cs="Tahoma"/>
          <w:b w:val="0"/>
          <w:bCs w:val="0"/>
          <w:noProof/>
        </w:rPr>
        <w:lastRenderedPageBreak/>
        <mc:AlternateContent>
          <mc:Choice Requires="wps">
            <w:drawing>
              <wp:anchor distT="4294967292" distB="4294967292" distL="114300" distR="114300" simplePos="0" relativeHeight="251674624" behindDoc="0" locked="0" layoutInCell="1" allowOverlap="1" wp14:anchorId="1AE62CE1" wp14:editId="109E173B">
                <wp:simplePos x="0" y="0"/>
                <wp:positionH relativeFrom="margin">
                  <wp:posOffset>1831340</wp:posOffset>
                </wp:positionH>
                <wp:positionV relativeFrom="paragraph">
                  <wp:posOffset>300257</wp:posOffset>
                </wp:positionV>
                <wp:extent cx="2443480" cy="0"/>
                <wp:effectExtent l="19050" t="19050" r="33020" b="38100"/>
                <wp:wrapNone/>
                <wp:docPr id="13"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2399C121" id="Connettore 2 13" o:spid="_x0000_s1026" type="#_x0000_t32" style="position:absolute;margin-left:144.2pt;margin-top:23.65pt;width:192.4pt;height:0;z-index:25167462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" strokecolor="#404040" strokeweight=".53mm">
                <v:stroke joinstyle="miter" endcap="square"/>
                <w10:wrap anchorx="margin"/>
              </v:shape>
            </w:pict>
          </mc:Fallback>
        </mc:AlternateContent>
      </w:r>
      <w:r w:rsidR="00A8032F">
        <w:t>3</w:t>
      </w:r>
      <w:r w:rsidR="00287DC5" w:rsidRPr="00B15171">
        <w:t>.</w:t>
      </w:r>
      <w:r w:rsidRPr="003B3176">
        <w:br/>
      </w:r>
      <w:r w:rsidR="00287DC5" w:rsidRPr="00B15171">
        <w:t>I</w:t>
      </w:r>
      <w:r w:rsidR="00B15171" w:rsidRPr="00B15171">
        <w:t>l ruolo dei sindaci nell’ipotesi di squilibrio patrimoniale o economico-finanziario</w:t>
      </w:r>
      <w:bookmarkEnd w:id="8"/>
    </w:p>
    <w:p w14:paraId="7D0C5946" w14:textId="7F343A26" w:rsidR="00287DC5" w:rsidRDefault="00287DC5" w:rsidP="00B15171">
      <w:pPr>
        <w:spacing w:after="200" w:line="360" w:lineRule="auto"/>
        <w:jc w:val="both"/>
        <w:rPr>
          <w:rFonts w:ascii="Tahoma" w:hAnsi="Tahoma" w:cs="Tahoma"/>
          <w:sz w:val="20"/>
          <w:szCs w:val="20"/>
        </w:rPr>
      </w:pPr>
    </w:p>
    <w:p w14:paraId="11A7B972" w14:textId="31A6BC5F" w:rsidR="00B15171" w:rsidRDefault="00B15171" w:rsidP="00B15171">
      <w:pPr>
        <w:spacing w:after="200" w:line="360" w:lineRule="auto"/>
        <w:jc w:val="both"/>
        <w:rPr>
          <w:rFonts w:ascii="Tahoma" w:hAnsi="Tahoma" w:cs="Tahoma"/>
          <w:sz w:val="20"/>
          <w:szCs w:val="20"/>
        </w:rPr>
      </w:pPr>
    </w:p>
    <w:p w14:paraId="18FE599B" w14:textId="749F9184" w:rsidR="00B15171" w:rsidRDefault="00B15171" w:rsidP="00B15171">
      <w:pPr>
        <w:spacing w:after="200" w:line="360" w:lineRule="auto"/>
        <w:jc w:val="both"/>
        <w:rPr>
          <w:rFonts w:ascii="Tahoma" w:hAnsi="Tahoma" w:cs="Tahoma"/>
          <w:sz w:val="20"/>
          <w:szCs w:val="20"/>
        </w:rPr>
      </w:pPr>
    </w:p>
    <w:p w14:paraId="1B6A23B6" w14:textId="51E8B7C9" w:rsidR="00B15171" w:rsidRDefault="00B15171" w:rsidP="00B15171">
      <w:pPr>
        <w:spacing w:after="200" w:line="360" w:lineRule="auto"/>
        <w:jc w:val="both"/>
        <w:rPr>
          <w:rFonts w:ascii="Tahoma" w:hAnsi="Tahoma" w:cs="Tahoma"/>
          <w:sz w:val="20"/>
          <w:szCs w:val="20"/>
        </w:rPr>
      </w:pPr>
    </w:p>
    <w:p w14:paraId="67DF7C79" w14:textId="03B721BA" w:rsidR="00B15171" w:rsidRDefault="00B15171" w:rsidP="00B15171">
      <w:pPr>
        <w:spacing w:after="200" w:line="360" w:lineRule="auto"/>
        <w:jc w:val="both"/>
        <w:rPr>
          <w:rFonts w:ascii="Tahoma" w:hAnsi="Tahoma" w:cs="Tahoma"/>
          <w:sz w:val="20"/>
          <w:szCs w:val="20"/>
        </w:rPr>
      </w:pPr>
    </w:p>
    <w:p w14:paraId="23958209" w14:textId="77777777" w:rsidR="00B15171" w:rsidRPr="00B15171" w:rsidRDefault="00B15171" w:rsidP="00B15171">
      <w:pPr>
        <w:spacing w:after="200" w:line="360" w:lineRule="auto"/>
        <w:jc w:val="both"/>
        <w:rPr>
          <w:rFonts w:ascii="Tahoma" w:hAnsi="Tahoma" w:cs="Tahoma"/>
          <w:sz w:val="20"/>
          <w:szCs w:val="20"/>
        </w:rPr>
      </w:pPr>
    </w:p>
    <w:p w14:paraId="4E308E8A" w14:textId="4428AD58" w:rsidR="0047780B" w:rsidRPr="00B15171" w:rsidRDefault="00A8032F" w:rsidP="00B15171">
      <w:pPr>
        <w:pStyle w:val="Titolo2"/>
      </w:pPr>
      <w:bookmarkStart w:id="9" w:name="_Toc161309095"/>
      <w:r>
        <w:t>3</w:t>
      </w:r>
      <w:r w:rsidR="0047780B" w:rsidRPr="00B15171">
        <w:t>.1 Gli adeguati assetti e lo squilibrio</w:t>
      </w:r>
      <w:bookmarkEnd w:id="9"/>
    </w:p>
    <w:p w14:paraId="21C7EC6E" w14:textId="07E3EE10" w:rsidR="00287DC5" w:rsidRPr="00B15171" w:rsidRDefault="00287DC5" w:rsidP="00B15171">
      <w:pPr>
        <w:spacing w:after="200" w:line="360" w:lineRule="auto"/>
        <w:jc w:val="both"/>
        <w:rPr>
          <w:rFonts w:ascii="Tahoma" w:hAnsi="Tahoma" w:cs="Tahoma"/>
          <w:sz w:val="20"/>
          <w:szCs w:val="20"/>
        </w:rPr>
      </w:pPr>
      <w:r w:rsidRPr="00B15171">
        <w:rPr>
          <w:rFonts w:ascii="Tahoma" w:hAnsi="Tahoma" w:cs="Tahoma"/>
          <w:sz w:val="20"/>
          <w:szCs w:val="20"/>
        </w:rPr>
        <w:t>Il 15 luglio 2022 è finalmente entrata in vigore la versione definitiva del Codice della Crisi d’Impresa e dell’Insolvenza (CCII).</w:t>
      </w:r>
    </w:p>
    <w:p w14:paraId="1C299D68" w14:textId="61400ED8" w:rsidR="000B6659" w:rsidRPr="00B15171" w:rsidRDefault="00287DC5" w:rsidP="00B15171">
      <w:pPr>
        <w:spacing w:after="200" w:line="360" w:lineRule="auto"/>
        <w:jc w:val="both"/>
        <w:rPr>
          <w:rFonts w:ascii="Tahoma" w:hAnsi="Tahoma" w:cs="Tahoma"/>
          <w:sz w:val="20"/>
          <w:szCs w:val="20"/>
        </w:rPr>
      </w:pPr>
      <w:r w:rsidRPr="00B15171">
        <w:rPr>
          <w:rFonts w:ascii="Tahoma" w:hAnsi="Tahoma" w:cs="Tahoma"/>
          <w:sz w:val="20"/>
          <w:szCs w:val="20"/>
        </w:rPr>
        <w:t>Nella formulazione definitiva è stato inserito uno strumento di intercettazione tempestiva delle situazioni di crisi</w:t>
      </w:r>
      <w:r w:rsidR="00E25345" w:rsidRPr="00B15171">
        <w:rPr>
          <w:rFonts w:ascii="Tahoma" w:hAnsi="Tahoma" w:cs="Tahoma"/>
          <w:sz w:val="20"/>
          <w:szCs w:val="20"/>
        </w:rPr>
        <w:t xml:space="preserve">, la </w:t>
      </w:r>
      <w:r w:rsidR="00E25345" w:rsidRPr="00B15171">
        <w:rPr>
          <w:rFonts w:ascii="Tahoma" w:hAnsi="Tahoma" w:cs="Tahoma"/>
          <w:b/>
          <w:bCs/>
          <w:sz w:val="20"/>
          <w:szCs w:val="20"/>
        </w:rPr>
        <w:t>composizione negoziata</w:t>
      </w:r>
      <w:r w:rsidR="00E25345" w:rsidRPr="00B15171">
        <w:rPr>
          <w:rFonts w:ascii="Tahoma" w:hAnsi="Tahoma" w:cs="Tahoma"/>
          <w:sz w:val="20"/>
          <w:szCs w:val="20"/>
        </w:rPr>
        <w:t>,</w:t>
      </w:r>
      <w:r w:rsidRPr="00B15171">
        <w:rPr>
          <w:rFonts w:ascii="Tahoma" w:hAnsi="Tahoma" w:cs="Tahoma"/>
          <w:sz w:val="20"/>
          <w:szCs w:val="20"/>
        </w:rPr>
        <w:t xml:space="preserve"> che il legislatore aveva già introdotto con una normativa provvisoria (DL 118/2021, convertito, con modificazioni, dalla Legge 147/2021) e che quindi diventa ora il percorso privilegiato per le situazioni nelle quali la crisi o l’insolvenza sono probabili, ma risulta perseguibile il risa</w:t>
      </w:r>
      <w:r w:rsidR="000B6659" w:rsidRPr="00B15171">
        <w:rPr>
          <w:rFonts w:ascii="Tahoma" w:hAnsi="Tahoma" w:cs="Tahoma"/>
          <w:sz w:val="20"/>
          <w:szCs w:val="20"/>
        </w:rPr>
        <w:t>na</w:t>
      </w:r>
      <w:r w:rsidRPr="00B15171">
        <w:rPr>
          <w:rFonts w:ascii="Tahoma" w:hAnsi="Tahoma" w:cs="Tahoma"/>
          <w:sz w:val="20"/>
          <w:szCs w:val="20"/>
        </w:rPr>
        <w:t>mento.</w:t>
      </w:r>
    </w:p>
    <w:p w14:paraId="2371957E" w14:textId="79B4ED3F" w:rsidR="000B6659" w:rsidRPr="00B15171" w:rsidRDefault="000B6659" w:rsidP="00B15171">
      <w:pPr>
        <w:spacing w:after="200" w:line="360" w:lineRule="auto"/>
        <w:jc w:val="both"/>
        <w:rPr>
          <w:rFonts w:ascii="Tahoma" w:hAnsi="Tahoma" w:cs="Tahoma"/>
          <w:sz w:val="20"/>
          <w:szCs w:val="20"/>
        </w:rPr>
      </w:pPr>
      <w:r w:rsidRPr="00B15171">
        <w:rPr>
          <w:rFonts w:ascii="Tahoma" w:hAnsi="Tahoma" w:cs="Tahoma"/>
          <w:sz w:val="20"/>
          <w:szCs w:val="20"/>
        </w:rPr>
        <w:t>La composizione negoziata della crisi è quindi possibile se:</w:t>
      </w:r>
    </w:p>
    <w:p w14:paraId="4FB7D467" w14:textId="3BB96762" w:rsidR="000B6659" w:rsidRPr="00B15171" w:rsidRDefault="000B6659">
      <w:pPr>
        <w:pStyle w:val="Paragrafoelenco"/>
        <w:numPr>
          <w:ilvl w:val="0"/>
          <w:numId w:val="6"/>
        </w:numPr>
        <w:spacing w:after="200" w:line="360" w:lineRule="auto"/>
        <w:ind w:left="714" w:hanging="357"/>
        <w:jc w:val="both"/>
        <w:rPr>
          <w:rFonts w:ascii="Tahoma" w:hAnsi="Tahoma" w:cs="Tahoma"/>
          <w:sz w:val="20"/>
          <w:szCs w:val="20"/>
        </w:rPr>
      </w:pPr>
      <w:r w:rsidRPr="00B15171">
        <w:rPr>
          <w:rFonts w:ascii="Tahoma" w:hAnsi="Tahoma" w:cs="Tahoma"/>
          <w:sz w:val="20"/>
          <w:szCs w:val="20"/>
        </w:rPr>
        <w:t>l’impresa si trova in condizioni di squilibrio patrimoniale o economico – finanziario</w:t>
      </w:r>
    </w:p>
    <w:p w14:paraId="07D159C0" w14:textId="3C7543C2" w:rsidR="000B6659" w:rsidRPr="00B15171" w:rsidRDefault="000B6659">
      <w:pPr>
        <w:pStyle w:val="Paragrafoelenco"/>
        <w:numPr>
          <w:ilvl w:val="0"/>
          <w:numId w:val="6"/>
        </w:numPr>
        <w:spacing w:after="200" w:line="360" w:lineRule="auto"/>
        <w:ind w:left="714" w:hanging="357"/>
        <w:jc w:val="both"/>
        <w:rPr>
          <w:rFonts w:ascii="Tahoma" w:hAnsi="Tahoma" w:cs="Tahoma"/>
          <w:sz w:val="20"/>
          <w:szCs w:val="20"/>
        </w:rPr>
      </w:pPr>
      <w:r w:rsidRPr="00B15171">
        <w:rPr>
          <w:rFonts w:ascii="Tahoma" w:hAnsi="Tahoma" w:cs="Tahoma"/>
          <w:sz w:val="20"/>
          <w:szCs w:val="20"/>
        </w:rPr>
        <w:t>tale squilibrio rende probabile la crisi o l’insolvenza</w:t>
      </w:r>
    </w:p>
    <w:p w14:paraId="182997AF" w14:textId="14613A41" w:rsidR="000B6659" w:rsidRPr="00B15171" w:rsidRDefault="000B6659">
      <w:pPr>
        <w:pStyle w:val="Paragrafoelenco"/>
        <w:numPr>
          <w:ilvl w:val="0"/>
          <w:numId w:val="6"/>
        </w:numPr>
        <w:spacing w:after="200" w:line="360" w:lineRule="auto"/>
        <w:contextualSpacing w:val="0"/>
        <w:jc w:val="both"/>
        <w:rPr>
          <w:rFonts w:ascii="Tahoma" w:hAnsi="Tahoma" w:cs="Tahoma"/>
          <w:sz w:val="20"/>
          <w:szCs w:val="20"/>
        </w:rPr>
      </w:pPr>
      <w:r w:rsidRPr="00B15171">
        <w:rPr>
          <w:rFonts w:ascii="Tahoma" w:hAnsi="Tahoma" w:cs="Tahoma"/>
          <w:sz w:val="20"/>
          <w:szCs w:val="20"/>
        </w:rPr>
        <w:t>risulta ragionevolmente perseguibile il risanamento</w:t>
      </w:r>
    </w:p>
    <w:p w14:paraId="0A3C67EA" w14:textId="2EE67AFF" w:rsidR="005C6BE2" w:rsidRPr="00B15171" w:rsidRDefault="005C6BE2" w:rsidP="00B15171">
      <w:pPr>
        <w:spacing w:after="200" w:line="360" w:lineRule="auto"/>
        <w:jc w:val="both"/>
        <w:rPr>
          <w:rFonts w:ascii="Tahoma" w:hAnsi="Tahoma" w:cs="Tahoma"/>
          <w:i/>
          <w:iCs/>
          <w:sz w:val="20"/>
          <w:szCs w:val="20"/>
        </w:rPr>
      </w:pPr>
      <w:r w:rsidRPr="00B15171">
        <w:rPr>
          <w:rFonts w:ascii="Tahoma" w:hAnsi="Tahoma" w:cs="Tahoma"/>
          <w:sz w:val="20"/>
          <w:szCs w:val="20"/>
        </w:rPr>
        <w:t xml:space="preserve">- </w:t>
      </w:r>
      <w:r w:rsidRPr="00B15171">
        <w:rPr>
          <w:rFonts w:ascii="Tahoma" w:hAnsi="Tahoma" w:cs="Tahoma"/>
          <w:i/>
          <w:iCs/>
          <w:sz w:val="20"/>
          <w:szCs w:val="20"/>
        </w:rPr>
        <w:t>Gli adeguati assetti</w:t>
      </w:r>
    </w:p>
    <w:p w14:paraId="4E11AA37" w14:textId="6911CAC3" w:rsidR="00287DC5" w:rsidRPr="00B15171" w:rsidRDefault="000B6659" w:rsidP="00B15171">
      <w:pPr>
        <w:spacing w:after="200" w:line="360" w:lineRule="auto"/>
        <w:jc w:val="both"/>
        <w:rPr>
          <w:rFonts w:ascii="Tahoma" w:hAnsi="Tahoma" w:cs="Tahoma"/>
          <w:sz w:val="20"/>
          <w:szCs w:val="20"/>
        </w:rPr>
      </w:pPr>
      <w:r w:rsidRPr="00B15171">
        <w:rPr>
          <w:rFonts w:ascii="Tahoma" w:hAnsi="Tahoma" w:cs="Tahoma"/>
          <w:sz w:val="20"/>
          <w:szCs w:val="20"/>
        </w:rPr>
        <w:t xml:space="preserve">La disciplina si basa sulla </w:t>
      </w:r>
      <w:r w:rsidR="00AF318B">
        <w:rPr>
          <w:rFonts w:ascii="Tahoma" w:hAnsi="Tahoma" w:cs="Tahoma"/>
          <w:sz w:val="20"/>
          <w:szCs w:val="20"/>
        </w:rPr>
        <w:t>necessità</w:t>
      </w:r>
      <w:r w:rsidRPr="00B15171">
        <w:rPr>
          <w:rFonts w:ascii="Tahoma" w:hAnsi="Tahoma" w:cs="Tahoma"/>
          <w:sz w:val="20"/>
          <w:szCs w:val="20"/>
        </w:rPr>
        <w:t xml:space="preserve"> che le </w:t>
      </w:r>
      <w:r w:rsidR="00AF318B">
        <w:rPr>
          <w:rFonts w:ascii="Tahoma" w:hAnsi="Tahoma" w:cs="Tahoma"/>
          <w:sz w:val="20"/>
          <w:szCs w:val="20"/>
        </w:rPr>
        <w:t xml:space="preserve">società </w:t>
      </w:r>
      <w:r w:rsidRPr="00B15171">
        <w:rPr>
          <w:rFonts w:ascii="Tahoma" w:hAnsi="Tahoma" w:cs="Tahoma"/>
          <w:sz w:val="20"/>
          <w:szCs w:val="20"/>
        </w:rPr>
        <w:t xml:space="preserve">si dotino di strumenti per rilevare tempestivamente lo stato di crisi ed in conseguenza di tale tempestiva rilevazione riescano senza indugio </w:t>
      </w:r>
      <w:r w:rsidR="00AF318B">
        <w:rPr>
          <w:rFonts w:ascii="Tahoma" w:hAnsi="Tahoma" w:cs="Tahoma"/>
          <w:sz w:val="20"/>
          <w:szCs w:val="20"/>
        </w:rPr>
        <w:t>ad 000</w:t>
      </w:r>
      <w:r w:rsidRPr="00B15171">
        <w:rPr>
          <w:rFonts w:ascii="Tahoma" w:hAnsi="Tahoma" w:cs="Tahoma"/>
          <w:sz w:val="20"/>
          <w:szCs w:val="20"/>
        </w:rPr>
        <w:t>assumere le iniziative necessarie per fare fronte alla situazione.</w:t>
      </w:r>
    </w:p>
    <w:p w14:paraId="511000A8" w14:textId="5B095F7A" w:rsidR="000B6659"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 xml:space="preserve">In aggiunta alla </w:t>
      </w:r>
      <w:r w:rsidR="000B6659" w:rsidRPr="00B15171">
        <w:rPr>
          <w:rFonts w:ascii="Tahoma" w:hAnsi="Tahoma" w:cs="Tahoma"/>
          <w:sz w:val="20"/>
          <w:szCs w:val="20"/>
        </w:rPr>
        <w:t>disciplina, già commentata, del secondo comma dell’art. 2086 c.c., regolante l’obbligo degli adeguati assetti per le società, il legislatore ha esteso tale obbligo a tutte le imprese commerciali e non solo a quelli organizzate in maniera societaria e collettiva.</w:t>
      </w:r>
    </w:p>
    <w:p w14:paraId="1306D163" w14:textId="77777777" w:rsidR="00493351" w:rsidRDefault="00493351">
      <w:pPr>
        <w:spacing w:after="160" w:line="259" w:lineRule="auto"/>
        <w:rPr>
          <w:rFonts w:ascii="Tahoma" w:hAnsi="Tahoma" w:cs="Tahoma"/>
          <w:sz w:val="20"/>
          <w:szCs w:val="20"/>
        </w:rPr>
      </w:pPr>
      <w:r>
        <w:rPr>
          <w:rFonts w:ascii="Tahoma" w:hAnsi="Tahoma" w:cs="Tahoma"/>
          <w:sz w:val="20"/>
          <w:szCs w:val="20"/>
        </w:rPr>
        <w:br w:type="page"/>
      </w:r>
    </w:p>
    <w:p w14:paraId="39F0C578" w14:textId="1BEDF619" w:rsidR="000B6659" w:rsidRPr="00B15171" w:rsidRDefault="000B6659" w:rsidP="00B15171">
      <w:pPr>
        <w:spacing w:after="200" w:line="360" w:lineRule="auto"/>
        <w:jc w:val="both"/>
        <w:rPr>
          <w:rFonts w:ascii="Tahoma" w:hAnsi="Tahoma" w:cs="Tahoma"/>
          <w:b/>
          <w:bCs/>
          <w:sz w:val="20"/>
          <w:szCs w:val="20"/>
        </w:rPr>
      </w:pPr>
      <w:r w:rsidRPr="00B15171">
        <w:rPr>
          <w:rFonts w:ascii="Tahoma" w:hAnsi="Tahoma" w:cs="Tahoma"/>
          <w:sz w:val="20"/>
          <w:szCs w:val="20"/>
        </w:rPr>
        <w:lastRenderedPageBreak/>
        <w:t xml:space="preserve">Gli </w:t>
      </w:r>
      <w:r w:rsidRPr="00B15171">
        <w:rPr>
          <w:rFonts w:ascii="Tahoma" w:hAnsi="Tahoma" w:cs="Tahoma"/>
          <w:b/>
          <w:bCs/>
          <w:sz w:val="20"/>
          <w:szCs w:val="20"/>
        </w:rPr>
        <w:t>adeguati assetti</w:t>
      </w:r>
      <w:r w:rsidRPr="00B15171">
        <w:rPr>
          <w:rFonts w:ascii="Tahoma" w:hAnsi="Tahoma" w:cs="Tahoma"/>
          <w:sz w:val="20"/>
          <w:szCs w:val="20"/>
        </w:rPr>
        <w:t xml:space="preserve"> </w:t>
      </w:r>
      <w:r w:rsidRPr="00B15171">
        <w:rPr>
          <w:rFonts w:ascii="Tahoma" w:hAnsi="Tahoma" w:cs="Tahoma"/>
          <w:b/>
          <w:bCs/>
          <w:sz w:val="20"/>
          <w:szCs w:val="20"/>
        </w:rPr>
        <w:t>devono consentire:</w:t>
      </w:r>
    </w:p>
    <w:p w14:paraId="7932A60D" w14:textId="38CF2678" w:rsidR="000B6659" w:rsidRPr="00B15171" w:rsidRDefault="000B6659">
      <w:pPr>
        <w:pStyle w:val="Paragrafoelenco"/>
        <w:numPr>
          <w:ilvl w:val="0"/>
          <w:numId w:val="7"/>
        </w:numPr>
        <w:spacing w:after="200" w:line="360" w:lineRule="auto"/>
        <w:ind w:left="714" w:hanging="357"/>
        <w:jc w:val="both"/>
        <w:rPr>
          <w:rFonts w:ascii="Tahoma" w:hAnsi="Tahoma" w:cs="Tahoma"/>
          <w:sz w:val="20"/>
          <w:szCs w:val="20"/>
        </w:rPr>
      </w:pPr>
      <w:r w:rsidRPr="00B15171">
        <w:rPr>
          <w:rFonts w:ascii="Tahoma" w:hAnsi="Tahoma" w:cs="Tahoma"/>
          <w:sz w:val="20"/>
          <w:szCs w:val="20"/>
        </w:rPr>
        <w:t xml:space="preserve">di rilevare eventuali squilibri patrimoniali o economici </w:t>
      </w:r>
      <w:r w:rsidR="005C6BE2" w:rsidRPr="00B15171">
        <w:rPr>
          <w:rFonts w:ascii="Tahoma" w:hAnsi="Tahoma" w:cs="Tahoma"/>
          <w:sz w:val="20"/>
          <w:szCs w:val="20"/>
        </w:rPr>
        <w:t>–</w:t>
      </w:r>
      <w:r w:rsidRPr="00B15171">
        <w:rPr>
          <w:rFonts w:ascii="Tahoma" w:hAnsi="Tahoma" w:cs="Tahoma"/>
          <w:sz w:val="20"/>
          <w:szCs w:val="20"/>
        </w:rPr>
        <w:t xml:space="preserve"> finan</w:t>
      </w:r>
      <w:r w:rsidR="005C6BE2" w:rsidRPr="00B15171">
        <w:rPr>
          <w:rFonts w:ascii="Tahoma" w:hAnsi="Tahoma" w:cs="Tahoma"/>
          <w:sz w:val="20"/>
          <w:szCs w:val="20"/>
        </w:rPr>
        <w:t>ziari</w:t>
      </w:r>
    </w:p>
    <w:p w14:paraId="27B3AB9C" w14:textId="08CFD708" w:rsidR="005C6BE2" w:rsidRPr="00B15171" w:rsidRDefault="005C6BE2">
      <w:pPr>
        <w:pStyle w:val="Paragrafoelenco"/>
        <w:numPr>
          <w:ilvl w:val="0"/>
          <w:numId w:val="7"/>
        </w:numPr>
        <w:spacing w:after="200" w:line="360" w:lineRule="auto"/>
        <w:ind w:left="714" w:hanging="357"/>
        <w:jc w:val="both"/>
        <w:rPr>
          <w:rFonts w:ascii="Tahoma" w:hAnsi="Tahoma" w:cs="Tahoma"/>
          <w:sz w:val="20"/>
          <w:szCs w:val="20"/>
        </w:rPr>
      </w:pPr>
      <w:r w:rsidRPr="00B15171">
        <w:rPr>
          <w:rFonts w:ascii="Tahoma" w:hAnsi="Tahoma" w:cs="Tahoma"/>
          <w:sz w:val="20"/>
          <w:szCs w:val="20"/>
        </w:rPr>
        <w:t>di verificare la sostenibilità dei debiti e le prospettive di continuità aziendale</w:t>
      </w:r>
    </w:p>
    <w:p w14:paraId="2878FEE9" w14:textId="2AA16368" w:rsidR="005C6BE2" w:rsidRPr="00B15171" w:rsidRDefault="005C6BE2">
      <w:pPr>
        <w:pStyle w:val="Paragrafoelenco"/>
        <w:numPr>
          <w:ilvl w:val="0"/>
          <w:numId w:val="7"/>
        </w:numPr>
        <w:spacing w:after="200" w:line="360" w:lineRule="auto"/>
        <w:ind w:left="714" w:hanging="357"/>
        <w:jc w:val="both"/>
        <w:rPr>
          <w:rFonts w:ascii="Tahoma" w:hAnsi="Tahoma" w:cs="Tahoma"/>
          <w:sz w:val="20"/>
          <w:szCs w:val="20"/>
        </w:rPr>
      </w:pPr>
      <w:r w:rsidRPr="00B15171">
        <w:rPr>
          <w:rFonts w:ascii="Tahoma" w:hAnsi="Tahoma" w:cs="Tahoma"/>
          <w:sz w:val="20"/>
          <w:szCs w:val="20"/>
        </w:rPr>
        <w:t>di rilevare tempestivamente i segnali per la previsione tempestiva della crisi</w:t>
      </w:r>
    </w:p>
    <w:p w14:paraId="0C6F6161" w14:textId="22D19F0B" w:rsidR="005C6BE2" w:rsidRPr="00B15171" w:rsidRDefault="005C6BE2">
      <w:pPr>
        <w:pStyle w:val="Paragrafoelenco"/>
        <w:numPr>
          <w:ilvl w:val="0"/>
          <w:numId w:val="7"/>
        </w:numPr>
        <w:spacing w:after="200" w:line="360" w:lineRule="auto"/>
        <w:contextualSpacing w:val="0"/>
        <w:jc w:val="both"/>
        <w:rPr>
          <w:rFonts w:ascii="Tahoma" w:hAnsi="Tahoma" w:cs="Tahoma"/>
          <w:sz w:val="20"/>
          <w:szCs w:val="20"/>
        </w:rPr>
      </w:pPr>
      <w:r w:rsidRPr="00B15171">
        <w:rPr>
          <w:rFonts w:ascii="Tahoma" w:hAnsi="Tahoma" w:cs="Tahoma"/>
          <w:sz w:val="20"/>
          <w:szCs w:val="20"/>
        </w:rPr>
        <w:t>di ricavare i dati per la lista di controllo e i test per la perseguibilità del risanamento</w:t>
      </w:r>
    </w:p>
    <w:p w14:paraId="1CDA2160" w14:textId="39AA6637" w:rsidR="005C6BE2"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5C6BE2" w:rsidRPr="00B15171">
        <w:rPr>
          <w:rFonts w:ascii="Tahoma" w:hAnsi="Tahoma" w:cs="Tahoma"/>
          <w:sz w:val="20"/>
          <w:szCs w:val="20"/>
        </w:rPr>
        <w:t xml:space="preserve"> quindi evidente che gli adeguati assetti organizzativi e amministrativo – contabili, che nella fisiologia dell’azienda servono per il suo effettivo funzionamento come complesso organizzato di persone e beni e come strumento sia per il rilevamento delle transazioni di impresa e la redazione di bilancio ma anche per la possibilità di effettuare scelte strategiche in maniera consapevole ed informata, nell’ambito della crisi hanno un ruolo fondamentale</w:t>
      </w:r>
      <w:r w:rsidR="002A0C90" w:rsidRPr="00B15171">
        <w:rPr>
          <w:rFonts w:ascii="Tahoma" w:hAnsi="Tahoma" w:cs="Tahoma"/>
          <w:sz w:val="20"/>
          <w:szCs w:val="20"/>
        </w:rPr>
        <w:t xml:space="preserve"> di prevenzione</w:t>
      </w:r>
      <w:r w:rsidR="005C6BE2" w:rsidRPr="00B15171">
        <w:rPr>
          <w:rFonts w:ascii="Tahoma" w:hAnsi="Tahoma" w:cs="Tahoma"/>
          <w:sz w:val="20"/>
          <w:szCs w:val="20"/>
        </w:rPr>
        <w:t xml:space="preserve">. </w:t>
      </w:r>
    </w:p>
    <w:p w14:paraId="0C3EC0D1" w14:textId="592028BE" w:rsidR="005C6BE2" w:rsidRPr="00B15171" w:rsidRDefault="005C6BE2" w:rsidP="00B15171">
      <w:pPr>
        <w:spacing w:after="200" w:line="360" w:lineRule="auto"/>
        <w:jc w:val="both"/>
        <w:rPr>
          <w:rFonts w:ascii="Tahoma" w:hAnsi="Tahoma" w:cs="Tahoma"/>
          <w:i/>
          <w:iCs/>
          <w:sz w:val="20"/>
          <w:szCs w:val="20"/>
        </w:rPr>
      </w:pPr>
      <w:r w:rsidRPr="00B15171">
        <w:rPr>
          <w:rFonts w:ascii="Tahoma" w:hAnsi="Tahoma" w:cs="Tahoma"/>
          <w:i/>
          <w:iCs/>
          <w:sz w:val="20"/>
          <w:szCs w:val="20"/>
        </w:rPr>
        <w:t>- Segnali per la previsione della crisi</w:t>
      </w:r>
    </w:p>
    <w:p w14:paraId="682B670C" w14:textId="30A9A3DD" w:rsidR="005C6BE2" w:rsidRPr="00B15171" w:rsidRDefault="005C6BE2" w:rsidP="00B15171">
      <w:pPr>
        <w:spacing w:after="200" w:line="360" w:lineRule="auto"/>
        <w:jc w:val="both"/>
        <w:rPr>
          <w:rFonts w:ascii="Tahoma" w:hAnsi="Tahoma" w:cs="Tahoma"/>
          <w:sz w:val="20"/>
          <w:szCs w:val="20"/>
        </w:rPr>
      </w:pPr>
      <w:r w:rsidRPr="00B15171">
        <w:rPr>
          <w:rFonts w:ascii="Tahoma" w:hAnsi="Tahoma" w:cs="Tahoma"/>
          <w:sz w:val="20"/>
          <w:szCs w:val="20"/>
        </w:rPr>
        <w:t>La nuova disciplina del CCII, all’art. 3, comma 4, stabilisce quali siano i segnali per la previsione della crisi.</w:t>
      </w:r>
    </w:p>
    <w:p w14:paraId="5F0A0201" w14:textId="53BFA08C" w:rsidR="00312A65" w:rsidRPr="00B15171" w:rsidRDefault="005C6BE2" w:rsidP="00B15171">
      <w:pPr>
        <w:spacing w:after="200" w:line="360" w:lineRule="auto"/>
        <w:jc w:val="both"/>
        <w:rPr>
          <w:rFonts w:ascii="Tahoma" w:hAnsi="Tahoma" w:cs="Tahoma"/>
          <w:sz w:val="20"/>
          <w:szCs w:val="20"/>
        </w:rPr>
      </w:pPr>
      <w:r w:rsidRPr="00B15171">
        <w:rPr>
          <w:rFonts w:ascii="Tahoma" w:hAnsi="Tahoma" w:cs="Tahoma"/>
          <w:sz w:val="20"/>
          <w:szCs w:val="20"/>
        </w:rPr>
        <w:t xml:space="preserve">Si tratta di segnali di ordine numerico che sono sia di derivazione contabile, che di derivazione </w:t>
      </w:r>
      <w:r w:rsidR="00AF318B">
        <w:rPr>
          <w:rFonts w:ascii="Tahoma" w:hAnsi="Tahoma" w:cs="Tahoma"/>
          <w:sz w:val="20"/>
          <w:szCs w:val="20"/>
        </w:rPr>
        <w:t xml:space="preserve">extracontabile </w:t>
      </w:r>
      <w:r w:rsidRPr="00B15171">
        <w:rPr>
          <w:rFonts w:ascii="Tahoma" w:hAnsi="Tahoma" w:cs="Tahoma"/>
          <w:sz w:val="20"/>
          <w:szCs w:val="20"/>
        </w:rPr>
        <w:t xml:space="preserve">e richiedono chiaramente l’esistenza di un assetto, precipuamente, amministrativo – contabile </w:t>
      </w:r>
      <w:r w:rsidR="00826716" w:rsidRPr="00B15171">
        <w:rPr>
          <w:rFonts w:ascii="Tahoma" w:hAnsi="Tahoma" w:cs="Tahoma"/>
          <w:sz w:val="20"/>
          <w:szCs w:val="20"/>
        </w:rPr>
        <w:t>ben strutturato</w:t>
      </w:r>
      <w:r w:rsidR="002A0C90" w:rsidRPr="00B15171">
        <w:rPr>
          <w:rFonts w:ascii="Tahoma" w:hAnsi="Tahoma" w:cs="Tahoma"/>
          <w:sz w:val="20"/>
          <w:szCs w:val="20"/>
        </w:rPr>
        <w:t>,</w:t>
      </w:r>
      <w:r w:rsidR="00826716" w:rsidRPr="00B15171">
        <w:rPr>
          <w:rFonts w:ascii="Tahoma" w:hAnsi="Tahoma" w:cs="Tahoma"/>
          <w:sz w:val="20"/>
          <w:szCs w:val="20"/>
        </w:rPr>
        <w:t xml:space="preserve"> oltre il semplice adempimento della tenuta giorno per giorno della contabilità.</w:t>
      </w:r>
    </w:p>
    <w:p w14:paraId="176741F4" w14:textId="77777777" w:rsidR="00493351" w:rsidRDefault="00493351" w:rsidP="00B15171">
      <w:pPr>
        <w:spacing w:after="200" w:line="360" w:lineRule="auto"/>
        <w:jc w:val="both"/>
        <w:rPr>
          <w:rFonts w:ascii="Tahoma" w:hAnsi="Tahoma" w:cs="Tahoma"/>
          <w:b/>
          <w:bCs/>
          <w:i/>
          <w:iCs/>
          <w:sz w:val="20"/>
          <w:szCs w:val="20"/>
        </w:rPr>
      </w:pPr>
    </w:p>
    <w:p w14:paraId="27E6F6E1" w14:textId="286DCD3C" w:rsidR="00A44D0C" w:rsidRDefault="00A44D0C"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t>I Segnale: Retribuzioni scadute</w:t>
      </w:r>
    </w:p>
    <w:p w14:paraId="60DD83A0" w14:textId="77777777" w:rsidR="00312A65" w:rsidRDefault="00312A65" w:rsidP="00B15171">
      <w:pPr>
        <w:spacing w:after="200" w:line="360" w:lineRule="auto"/>
        <w:jc w:val="both"/>
        <w:rPr>
          <w:rFonts w:ascii="Tahoma" w:hAnsi="Tahoma" w:cs="Tahoma"/>
          <w:b/>
          <w:bCs/>
          <w:i/>
          <w:iCs/>
          <w:sz w:val="20"/>
          <w:szCs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92"/>
        <w:gridCol w:w="3958"/>
      </w:tblGrid>
      <w:tr w:rsidR="00312A65" w:rsidRPr="00312A65" w14:paraId="1ED2F293" w14:textId="77777777" w:rsidTr="00493351">
        <w:trPr>
          <w:jc w:val="center"/>
        </w:trPr>
        <w:tc>
          <w:tcPr>
            <w:tcW w:w="4678" w:type="dxa"/>
          </w:tcPr>
          <w:p w14:paraId="0C2C3A0A" w14:textId="5AC3936E"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 xml:space="preserve">Debiti per retribuzioni scadute da oltre 30 giorni </w:t>
            </w:r>
          </w:p>
        </w:tc>
        <w:tc>
          <w:tcPr>
            <w:tcW w:w="992" w:type="dxa"/>
          </w:tcPr>
          <w:p w14:paraId="17BB3DC5" w14:textId="77777777"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&gt;</w:t>
            </w:r>
          </w:p>
        </w:tc>
        <w:tc>
          <w:tcPr>
            <w:tcW w:w="3958" w:type="dxa"/>
          </w:tcPr>
          <w:p w14:paraId="053D6186" w14:textId="13FAE487"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Metà dell’ammontare complessivo mensile delle retribuzioni</w:t>
            </w:r>
          </w:p>
        </w:tc>
      </w:tr>
    </w:tbl>
    <w:p w14:paraId="4E7C35A6" w14:textId="77777777" w:rsidR="002A0C90" w:rsidRPr="00B15171" w:rsidRDefault="002A0C90" w:rsidP="00B15171">
      <w:pPr>
        <w:spacing w:after="200" w:line="360" w:lineRule="auto"/>
        <w:jc w:val="both"/>
        <w:rPr>
          <w:rFonts w:ascii="Tahoma" w:hAnsi="Tahoma" w:cs="Tahoma"/>
          <w:sz w:val="20"/>
          <w:szCs w:val="20"/>
        </w:rPr>
      </w:pPr>
    </w:p>
    <w:p w14:paraId="43FA7B05" w14:textId="288B7C89" w:rsidR="002A0C90"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EA27A8" w:rsidRPr="00B15171">
        <w:rPr>
          <w:rFonts w:ascii="Tahoma" w:hAnsi="Tahoma" w:cs="Tahoma"/>
          <w:sz w:val="20"/>
          <w:szCs w:val="20"/>
        </w:rPr>
        <w:t xml:space="preserve"> evidente che si tratta di un segnale che può essere ritratto agevolmente dalla contabilità aziendale. Occorre cioè che l’azienda (e, come vedremo più avanti, l’organo di controllo) quantifichi l’importo dovuto ai dipendenti per le retribuzion</w:t>
      </w:r>
      <w:r w:rsidR="002A0C90" w:rsidRPr="00B15171">
        <w:rPr>
          <w:rFonts w:ascii="Tahoma" w:hAnsi="Tahoma" w:cs="Tahoma"/>
          <w:sz w:val="20"/>
          <w:szCs w:val="20"/>
        </w:rPr>
        <w:t>i</w:t>
      </w:r>
      <w:r w:rsidR="00EA27A8" w:rsidRPr="00B15171">
        <w:rPr>
          <w:rFonts w:ascii="Tahoma" w:hAnsi="Tahoma" w:cs="Tahoma"/>
          <w:sz w:val="20"/>
          <w:szCs w:val="20"/>
        </w:rPr>
        <w:t xml:space="preserve"> di un mese.</w:t>
      </w:r>
    </w:p>
    <w:p w14:paraId="0285E664" w14:textId="49EEA711" w:rsidR="002A0C90"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Retribuzioni mensili: 100</w:t>
      </w:r>
    </w:p>
    <w:p w14:paraId="638C12D0" w14:textId="4E43E980" w:rsidR="002A0C90"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Retribuzioni di aprile non pagate: 55</w:t>
      </w:r>
    </w:p>
    <w:p w14:paraId="1E61A0E7" w14:textId="0CDFED01" w:rsidR="002A0C90"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Primo giugno: emersione del segnale</w:t>
      </w:r>
    </w:p>
    <w:p w14:paraId="2F00AB6C" w14:textId="0A3561C6" w:rsidR="00EA27A8" w:rsidRPr="00B15171" w:rsidRDefault="002A0C90" w:rsidP="00B15171">
      <w:pPr>
        <w:spacing w:after="200" w:line="360" w:lineRule="auto"/>
        <w:jc w:val="both"/>
        <w:rPr>
          <w:rFonts w:ascii="Tahoma" w:hAnsi="Tahoma" w:cs="Tahoma"/>
          <w:sz w:val="20"/>
          <w:szCs w:val="20"/>
        </w:rPr>
      </w:pPr>
      <w:r w:rsidRPr="00B15171">
        <w:rPr>
          <w:rFonts w:ascii="Tahoma" w:hAnsi="Tahoma" w:cs="Tahoma"/>
          <w:sz w:val="20"/>
          <w:szCs w:val="20"/>
        </w:rPr>
        <w:t xml:space="preserve"> </w:t>
      </w:r>
    </w:p>
    <w:p w14:paraId="456481EF" w14:textId="77777777" w:rsidR="00312A65" w:rsidRDefault="00312A65">
      <w:pPr>
        <w:spacing w:after="160" w:line="259" w:lineRule="auto"/>
        <w:rPr>
          <w:rFonts w:ascii="Tahoma" w:hAnsi="Tahoma" w:cs="Tahoma"/>
          <w:b/>
          <w:bCs/>
          <w:i/>
          <w:iCs/>
          <w:sz w:val="20"/>
          <w:szCs w:val="20"/>
        </w:rPr>
      </w:pPr>
      <w:r>
        <w:rPr>
          <w:rFonts w:ascii="Tahoma" w:hAnsi="Tahoma" w:cs="Tahoma"/>
          <w:b/>
          <w:bCs/>
          <w:i/>
          <w:iCs/>
          <w:sz w:val="20"/>
          <w:szCs w:val="20"/>
        </w:rPr>
        <w:br w:type="page"/>
      </w:r>
    </w:p>
    <w:p w14:paraId="0CB6794B" w14:textId="3913B21C" w:rsidR="00EA27A8" w:rsidRDefault="00EA27A8"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lastRenderedPageBreak/>
        <w:t>II Segnale: Debiti verso fornitori scaduti</w:t>
      </w:r>
    </w:p>
    <w:p w14:paraId="43A4A4ED" w14:textId="77777777" w:rsidR="00312A65" w:rsidRDefault="00312A65" w:rsidP="00B15171">
      <w:pPr>
        <w:spacing w:after="200" w:line="360" w:lineRule="auto"/>
        <w:jc w:val="both"/>
        <w:rPr>
          <w:rFonts w:ascii="Tahoma" w:hAnsi="Tahoma" w:cs="Tahoma"/>
          <w:b/>
          <w:bCs/>
          <w:i/>
          <w:iCs/>
          <w:sz w:val="20"/>
          <w:szCs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gridCol w:w="3958"/>
      </w:tblGrid>
      <w:tr w:rsidR="00312A65" w:rsidRPr="00312A65" w14:paraId="422CB452" w14:textId="77777777" w:rsidTr="00493351">
        <w:trPr>
          <w:jc w:val="center"/>
        </w:trPr>
        <w:tc>
          <w:tcPr>
            <w:tcW w:w="4536" w:type="dxa"/>
          </w:tcPr>
          <w:p w14:paraId="30AB0AB2" w14:textId="4B8AAB10" w:rsidR="00312A65" w:rsidRPr="00312A65" w:rsidRDefault="00312A65" w:rsidP="008305D3">
            <w:pPr>
              <w:spacing w:after="200" w:line="360" w:lineRule="auto"/>
              <w:jc w:val="center"/>
              <w:rPr>
                <w:rFonts w:ascii="Tahoma" w:hAnsi="Tahoma" w:cs="Tahoma"/>
                <w:sz w:val="20"/>
                <w:szCs w:val="20"/>
              </w:rPr>
            </w:pPr>
            <w:r w:rsidRPr="00B15171">
              <w:rPr>
                <w:rFonts w:ascii="Tahoma" w:hAnsi="Tahoma" w:cs="Tahoma"/>
                <w:sz w:val="20"/>
                <w:szCs w:val="20"/>
              </w:rPr>
              <w:t>Debiti verso fornitori scaduti da almeno 90 giorni</w:t>
            </w:r>
          </w:p>
        </w:tc>
        <w:tc>
          <w:tcPr>
            <w:tcW w:w="1134" w:type="dxa"/>
          </w:tcPr>
          <w:p w14:paraId="2CC61326" w14:textId="77777777"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&gt;</w:t>
            </w:r>
          </w:p>
        </w:tc>
        <w:tc>
          <w:tcPr>
            <w:tcW w:w="3958" w:type="dxa"/>
          </w:tcPr>
          <w:p w14:paraId="45D97365" w14:textId="5AF8E331" w:rsidR="00312A65" w:rsidRPr="00312A65" w:rsidRDefault="00312A65" w:rsidP="008305D3">
            <w:pPr>
              <w:spacing w:after="200" w:line="360" w:lineRule="auto"/>
              <w:jc w:val="center"/>
              <w:rPr>
                <w:rFonts w:ascii="Tahoma" w:hAnsi="Tahoma" w:cs="Tahoma"/>
                <w:sz w:val="20"/>
                <w:szCs w:val="20"/>
              </w:rPr>
            </w:pPr>
            <w:r w:rsidRPr="00312A65">
              <w:rPr>
                <w:rFonts w:ascii="Tahoma" w:hAnsi="Tahoma" w:cs="Tahoma"/>
                <w:sz w:val="20"/>
                <w:szCs w:val="20"/>
              </w:rPr>
              <w:t>Debiti non scaduti</w:t>
            </w:r>
          </w:p>
        </w:tc>
      </w:tr>
    </w:tbl>
    <w:p w14:paraId="241C4C16" w14:textId="77777777" w:rsidR="00312A65" w:rsidRPr="00B15171" w:rsidRDefault="00312A65" w:rsidP="00B15171">
      <w:pPr>
        <w:spacing w:after="200" w:line="360" w:lineRule="auto"/>
        <w:jc w:val="both"/>
        <w:rPr>
          <w:rFonts w:ascii="Tahoma" w:hAnsi="Tahoma" w:cs="Tahoma"/>
          <w:b/>
          <w:bCs/>
          <w:i/>
          <w:iCs/>
          <w:sz w:val="20"/>
          <w:szCs w:val="20"/>
        </w:rPr>
      </w:pPr>
    </w:p>
    <w:p w14:paraId="1DF10063" w14:textId="6739EFEB" w:rsidR="00EA27A8"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 xml:space="preserve">Questo secondo segnale </w:t>
      </w:r>
      <w:r w:rsidRPr="00B15171">
        <w:rPr>
          <w:rFonts w:ascii="Tahoma" w:hAnsi="Tahoma" w:cs="Tahoma"/>
          <w:b/>
          <w:bCs/>
          <w:sz w:val="20"/>
          <w:szCs w:val="20"/>
        </w:rPr>
        <w:t>non</w:t>
      </w:r>
      <w:r w:rsidRPr="00B15171">
        <w:rPr>
          <w:rFonts w:ascii="Tahoma" w:hAnsi="Tahoma" w:cs="Tahoma"/>
          <w:sz w:val="20"/>
          <w:szCs w:val="20"/>
        </w:rPr>
        <w:t xml:space="preserve"> può </w:t>
      </w:r>
      <w:r w:rsidR="002A0C90" w:rsidRPr="00B15171">
        <w:rPr>
          <w:rFonts w:ascii="Tahoma" w:hAnsi="Tahoma" w:cs="Tahoma"/>
          <w:sz w:val="20"/>
          <w:szCs w:val="20"/>
        </w:rPr>
        <w:t xml:space="preserve">semplicemente </w:t>
      </w:r>
      <w:r w:rsidRPr="00B15171">
        <w:rPr>
          <w:rFonts w:ascii="Tahoma" w:hAnsi="Tahoma" w:cs="Tahoma"/>
          <w:sz w:val="20"/>
          <w:szCs w:val="20"/>
        </w:rPr>
        <w:t>essere ritratto dalla ordinaria contabilità dell’azienda.</w:t>
      </w:r>
    </w:p>
    <w:p w14:paraId="6A6B8E05" w14:textId="7262B5DA" w:rsidR="00A10C06"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 xml:space="preserve">Per poter verificare se tale </w:t>
      </w:r>
      <w:proofErr w:type="spellStart"/>
      <w:r w:rsidRPr="00B15171">
        <w:rPr>
          <w:rFonts w:ascii="Tahoma" w:hAnsi="Tahoma" w:cs="Tahoma"/>
          <w:i/>
          <w:iCs/>
          <w:sz w:val="20"/>
          <w:szCs w:val="20"/>
        </w:rPr>
        <w:t>alert</w:t>
      </w:r>
      <w:proofErr w:type="spellEnd"/>
      <w:r w:rsidRPr="00B15171">
        <w:rPr>
          <w:rFonts w:ascii="Tahoma" w:hAnsi="Tahoma" w:cs="Tahoma"/>
          <w:sz w:val="20"/>
          <w:szCs w:val="20"/>
        </w:rPr>
        <w:t xml:space="preserve"> è scattato, occorre infatti che l’azienda abbia a disposizione le seguenti informazioni:</w:t>
      </w:r>
    </w:p>
    <w:p w14:paraId="5DC43E4D" w14:textId="19552511" w:rsidR="00A10C06" w:rsidRPr="00B15171" w:rsidRDefault="00A10C06">
      <w:pPr>
        <w:pStyle w:val="Paragrafoelenco"/>
        <w:numPr>
          <w:ilvl w:val="0"/>
          <w:numId w:val="8"/>
        </w:numPr>
        <w:spacing w:after="200" w:line="360" w:lineRule="auto"/>
        <w:ind w:left="714" w:hanging="357"/>
        <w:jc w:val="both"/>
        <w:rPr>
          <w:rFonts w:ascii="Tahoma" w:hAnsi="Tahoma" w:cs="Tahoma"/>
          <w:sz w:val="20"/>
          <w:szCs w:val="20"/>
        </w:rPr>
      </w:pPr>
      <w:r w:rsidRPr="00B15171">
        <w:rPr>
          <w:rFonts w:ascii="Tahoma" w:hAnsi="Tahoma" w:cs="Tahoma"/>
          <w:sz w:val="20"/>
          <w:szCs w:val="20"/>
        </w:rPr>
        <w:t>ammontare dei debiti verso fornitori (dato desumibile dalle schede contabili)</w:t>
      </w:r>
    </w:p>
    <w:p w14:paraId="0F927D80" w14:textId="55B84614" w:rsidR="00A10C06" w:rsidRPr="00B15171" w:rsidRDefault="00A10C06">
      <w:pPr>
        <w:pStyle w:val="Paragrafoelenco"/>
        <w:numPr>
          <w:ilvl w:val="0"/>
          <w:numId w:val="8"/>
        </w:numPr>
        <w:spacing w:after="200" w:line="360" w:lineRule="auto"/>
        <w:contextualSpacing w:val="0"/>
        <w:jc w:val="both"/>
        <w:rPr>
          <w:rFonts w:ascii="Tahoma" w:hAnsi="Tahoma" w:cs="Tahoma"/>
          <w:sz w:val="20"/>
          <w:szCs w:val="20"/>
        </w:rPr>
      </w:pPr>
      <w:r w:rsidRPr="00B15171">
        <w:rPr>
          <w:rFonts w:ascii="Tahoma" w:hAnsi="Tahoma" w:cs="Tahoma"/>
          <w:sz w:val="20"/>
          <w:szCs w:val="20"/>
        </w:rPr>
        <w:t>scadenza dei debiti verso fornitori (dato extracontabile, desumibile dalle fatture, se vi è indicata la scadenza del pagamento o, comunque da altri elementi, come i contratti, gli ordinativi, sempre se esistenti)</w:t>
      </w:r>
    </w:p>
    <w:p w14:paraId="196552DF" w14:textId="43C5326B" w:rsidR="00A10C06"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Le imprese devono quindi avere un assetto amministrativo e contabile in grado di avere a disposizione in ogni momento uno scadenziario dei fornitori, dal quale poter ritrarre quale sia l’importo dei debiti verso i fornitori, diviso tra debiti scaduti e debiti non scaduti.</w:t>
      </w:r>
    </w:p>
    <w:p w14:paraId="7F2BFB79" w14:textId="4628D88E" w:rsidR="00A10C06" w:rsidRPr="00B15171" w:rsidRDefault="00A10C06" w:rsidP="00B15171">
      <w:pPr>
        <w:spacing w:after="200" w:line="360" w:lineRule="auto"/>
        <w:jc w:val="both"/>
        <w:rPr>
          <w:rFonts w:ascii="Tahoma" w:hAnsi="Tahoma" w:cs="Tahoma"/>
          <w:sz w:val="20"/>
          <w:szCs w:val="20"/>
        </w:rPr>
      </w:pPr>
      <w:r w:rsidRPr="00B15171">
        <w:rPr>
          <w:rFonts w:ascii="Tahoma" w:hAnsi="Tahoma" w:cs="Tahoma"/>
          <w:sz w:val="20"/>
          <w:szCs w:val="20"/>
        </w:rPr>
        <w:t xml:space="preserve">Sarà poi necessario organizzare lo scadenziario in modo da avere immediata evidenzia </w:t>
      </w:r>
      <w:r w:rsidR="004D1C0A" w:rsidRPr="00B15171">
        <w:rPr>
          <w:rFonts w:ascii="Tahoma" w:hAnsi="Tahoma" w:cs="Tahoma"/>
          <w:sz w:val="20"/>
          <w:szCs w:val="20"/>
        </w:rPr>
        <w:t>del superamento del limite dei 90 giorni.</w:t>
      </w:r>
    </w:p>
    <w:p w14:paraId="60824606" w14:textId="2E4DBB3A"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Supponiamo di avere quattro fornitori aperti:</w:t>
      </w:r>
    </w:p>
    <w:tbl>
      <w:tblPr>
        <w:tblStyle w:val="Grigliatabella"/>
        <w:tblW w:w="0" w:type="auto"/>
        <w:tblLook w:val="04A0" w:firstRow="1" w:lastRow="0" w:firstColumn="1" w:lastColumn="0" w:noHBand="0" w:noVBand="1"/>
      </w:tblPr>
      <w:tblGrid>
        <w:gridCol w:w="3209"/>
        <w:gridCol w:w="3209"/>
        <w:gridCol w:w="3210"/>
      </w:tblGrid>
      <w:tr w:rsidR="004D1C0A" w:rsidRPr="00B15171" w14:paraId="18892D4B" w14:textId="77777777" w:rsidTr="00312A65">
        <w:tc>
          <w:tcPr>
            <w:tcW w:w="3209" w:type="dxa"/>
            <w:shd w:val="clear" w:color="auto" w:fill="DEEAF6" w:themeFill="accent1" w:themeFillTint="33"/>
          </w:tcPr>
          <w:p w14:paraId="0714D624" w14:textId="4A6D0D12" w:rsidR="004D1C0A" w:rsidRPr="00312A65" w:rsidRDefault="004D1C0A" w:rsidP="00312A65">
            <w:pPr>
              <w:spacing w:before="60" w:after="60" w:line="326" w:lineRule="auto"/>
              <w:jc w:val="center"/>
              <w:rPr>
                <w:rFonts w:ascii="Tahoma" w:hAnsi="Tahoma" w:cs="Tahoma"/>
                <w:b/>
                <w:bCs/>
                <w:i/>
                <w:iCs/>
                <w:sz w:val="20"/>
                <w:szCs w:val="20"/>
              </w:rPr>
            </w:pPr>
            <w:r w:rsidRPr="00312A65">
              <w:rPr>
                <w:rFonts w:ascii="Tahoma" w:hAnsi="Tahoma" w:cs="Tahoma"/>
                <w:b/>
                <w:bCs/>
                <w:i/>
                <w:iCs/>
                <w:sz w:val="20"/>
                <w:szCs w:val="20"/>
              </w:rPr>
              <w:t>Fornitore</w:t>
            </w:r>
          </w:p>
        </w:tc>
        <w:tc>
          <w:tcPr>
            <w:tcW w:w="3209" w:type="dxa"/>
            <w:shd w:val="clear" w:color="auto" w:fill="DEEAF6" w:themeFill="accent1" w:themeFillTint="33"/>
          </w:tcPr>
          <w:p w14:paraId="4567DCC6" w14:textId="32DA66F9" w:rsidR="004D1C0A" w:rsidRPr="00312A65" w:rsidRDefault="004D1C0A" w:rsidP="00312A65">
            <w:pPr>
              <w:spacing w:before="60" w:after="60" w:line="326" w:lineRule="auto"/>
              <w:jc w:val="center"/>
              <w:rPr>
                <w:rFonts w:ascii="Tahoma" w:hAnsi="Tahoma" w:cs="Tahoma"/>
                <w:b/>
                <w:bCs/>
                <w:i/>
                <w:iCs/>
                <w:sz w:val="20"/>
                <w:szCs w:val="20"/>
              </w:rPr>
            </w:pPr>
            <w:r w:rsidRPr="00312A65">
              <w:rPr>
                <w:rFonts w:ascii="Tahoma" w:hAnsi="Tahoma" w:cs="Tahoma"/>
                <w:b/>
                <w:bCs/>
                <w:i/>
                <w:iCs/>
                <w:sz w:val="20"/>
                <w:szCs w:val="20"/>
              </w:rPr>
              <w:t>Importo del debito</w:t>
            </w:r>
          </w:p>
        </w:tc>
        <w:tc>
          <w:tcPr>
            <w:tcW w:w="3210" w:type="dxa"/>
            <w:shd w:val="clear" w:color="auto" w:fill="DEEAF6" w:themeFill="accent1" w:themeFillTint="33"/>
          </w:tcPr>
          <w:p w14:paraId="3C8D6C86" w14:textId="49634D3B" w:rsidR="004D1C0A" w:rsidRPr="00312A65" w:rsidRDefault="004D1C0A" w:rsidP="00312A65">
            <w:pPr>
              <w:spacing w:before="60" w:after="60" w:line="326" w:lineRule="auto"/>
              <w:jc w:val="center"/>
              <w:rPr>
                <w:rFonts w:ascii="Tahoma" w:hAnsi="Tahoma" w:cs="Tahoma"/>
                <w:b/>
                <w:bCs/>
                <w:i/>
                <w:iCs/>
                <w:sz w:val="20"/>
                <w:szCs w:val="20"/>
              </w:rPr>
            </w:pPr>
            <w:r w:rsidRPr="00312A65">
              <w:rPr>
                <w:rFonts w:ascii="Tahoma" w:hAnsi="Tahoma" w:cs="Tahoma"/>
                <w:b/>
                <w:bCs/>
                <w:i/>
                <w:iCs/>
                <w:sz w:val="20"/>
                <w:szCs w:val="20"/>
              </w:rPr>
              <w:t>Scadenza</w:t>
            </w:r>
          </w:p>
        </w:tc>
      </w:tr>
      <w:tr w:rsidR="004D1C0A" w:rsidRPr="00B15171" w14:paraId="58CAA8EE" w14:textId="77777777" w:rsidTr="004D1C0A">
        <w:tc>
          <w:tcPr>
            <w:tcW w:w="3209" w:type="dxa"/>
          </w:tcPr>
          <w:p w14:paraId="619B5D34" w14:textId="63D7D84C"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Bianchi spa</w:t>
            </w:r>
          </w:p>
        </w:tc>
        <w:tc>
          <w:tcPr>
            <w:tcW w:w="3209" w:type="dxa"/>
          </w:tcPr>
          <w:p w14:paraId="20536E42" w14:textId="50792FCF"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100</w:t>
            </w:r>
          </w:p>
        </w:tc>
        <w:tc>
          <w:tcPr>
            <w:tcW w:w="3210" w:type="dxa"/>
          </w:tcPr>
          <w:p w14:paraId="3BB98FB3" w14:textId="13933694"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31/12/202</w:t>
            </w:r>
            <w:r w:rsidR="00AF318B">
              <w:rPr>
                <w:rFonts w:ascii="Tahoma" w:hAnsi="Tahoma" w:cs="Tahoma"/>
                <w:sz w:val="20"/>
                <w:szCs w:val="20"/>
              </w:rPr>
              <w:t>3</w:t>
            </w:r>
          </w:p>
        </w:tc>
      </w:tr>
      <w:tr w:rsidR="004D1C0A" w:rsidRPr="00B15171" w14:paraId="5246A069" w14:textId="77777777" w:rsidTr="004D1C0A">
        <w:tc>
          <w:tcPr>
            <w:tcW w:w="3209" w:type="dxa"/>
          </w:tcPr>
          <w:p w14:paraId="540E720B" w14:textId="52BCC1B8"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Rossi srl</w:t>
            </w:r>
          </w:p>
        </w:tc>
        <w:tc>
          <w:tcPr>
            <w:tcW w:w="3209" w:type="dxa"/>
          </w:tcPr>
          <w:p w14:paraId="4939E81D" w14:textId="6D1255F2"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30</w:t>
            </w:r>
          </w:p>
        </w:tc>
        <w:tc>
          <w:tcPr>
            <w:tcW w:w="3210" w:type="dxa"/>
          </w:tcPr>
          <w:p w14:paraId="4D8A6B63" w14:textId="11A186F6"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28/2/202</w:t>
            </w:r>
            <w:r w:rsidR="00AF318B">
              <w:rPr>
                <w:rFonts w:ascii="Tahoma" w:hAnsi="Tahoma" w:cs="Tahoma"/>
                <w:sz w:val="20"/>
                <w:szCs w:val="20"/>
              </w:rPr>
              <w:t>4</w:t>
            </w:r>
          </w:p>
        </w:tc>
      </w:tr>
      <w:tr w:rsidR="004D1C0A" w:rsidRPr="00B15171" w14:paraId="3D8B1A3E" w14:textId="77777777" w:rsidTr="004D1C0A">
        <w:tc>
          <w:tcPr>
            <w:tcW w:w="3209" w:type="dxa"/>
          </w:tcPr>
          <w:p w14:paraId="5A08F5A0" w14:textId="3243D472"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Verdi &amp; c. srl</w:t>
            </w:r>
          </w:p>
        </w:tc>
        <w:tc>
          <w:tcPr>
            <w:tcW w:w="3209" w:type="dxa"/>
          </w:tcPr>
          <w:p w14:paraId="24C3EBF8" w14:textId="1C4D00C3"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60</w:t>
            </w:r>
          </w:p>
        </w:tc>
        <w:tc>
          <w:tcPr>
            <w:tcW w:w="3210" w:type="dxa"/>
          </w:tcPr>
          <w:p w14:paraId="0B4051B4" w14:textId="7CC351DF"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30/4/202</w:t>
            </w:r>
            <w:r w:rsidR="00AF318B">
              <w:rPr>
                <w:rFonts w:ascii="Tahoma" w:hAnsi="Tahoma" w:cs="Tahoma"/>
                <w:sz w:val="20"/>
                <w:szCs w:val="20"/>
              </w:rPr>
              <w:t>4</w:t>
            </w:r>
          </w:p>
        </w:tc>
      </w:tr>
      <w:tr w:rsidR="004D1C0A" w:rsidRPr="00B15171" w14:paraId="5E559B75" w14:textId="77777777" w:rsidTr="004D1C0A">
        <w:tc>
          <w:tcPr>
            <w:tcW w:w="3209" w:type="dxa"/>
          </w:tcPr>
          <w:p w14:paraId="42B66CC0" w14:textId="4FAC6A4F"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Gialli coop</w:t>
            </w:r>
          </w:p>
        </w:tc>
        <w:tc>
          <w:tcPr>
            <w:tcW w:w="3209" w:type="dxa"/>
          </w:tcPr>
          <w:p w14:paraId="6B76DFC8" w14:textId="5F664D69" w:rsidR="004D1C0A" w:rsidRPr="00B15171" w:rsidRDefault="004D1C0A" w:rsidP="00312A65">
            <w:pPr>
              <w:spacing w:before="60" w:after="60" w:line="326" w:lineRule="auto"/>
              <w:jc w:val="right"/>
              <w:rPr>
                <w:rFonts w:ascii="Tahoma" w:hAnsi="Tahoma" w:cs="Tahoma"/>
                <w:sz w:val="20"/>
                <w:szCs w:val="20"/>
              </w:rPr>
            </w:pPr>
            <w:r w:rsidRPr="00B15171">
              <w:rPr>
                <w:rFonts w:ascii="Tahoma" w:hAnsi="Tahoma" w:cs="Tahoma"/>
                <w:sz w:val="20"/>
                <w:szCs w:val="20"/>
              </w:rPr>
              <w:t>50</w:t>
            </w:r>
          </w:p>
        </w:tc>
        <w:tc>
          <w:tcPr>
            <w:tcW w:w="3210" w:type="dxa"/>
          </w:tcPr>
          <w:p w14:paraId="4A73FA49" w14:textId="6C28D54A" w:rsidR="004D1C0A" w:rsidRPr="00B15171" w:rsidRDefault="004D1C0A" w:rsidP="00312A65">
            <w:pPr>
              <w:spacing w:before="60" w:after="60" w:line="326" w:lineRule="auto"/>
              <w:jc w:val="both"/>
              <w:rPr>
                <w:rFonts w:ascii="Tahoma" w:hAnsi="Tahoma" w:cs="Tahoma"/>
                <w:sz w:val="20"/>
                <w:szCs w:val="20"/>
              </w:rPr>
            </w:pPr>
            <w:r w:rsidRPr="00B15171">
              <w:rPr>
                <w:rFonts w:ascii="Tahoma" w:hAnsi="Tahoma" w:cs="Tahoma"/>
                <w:sz w:val="20"/>
                <w:szCs w:val="20"/>
              </w:rPr>
              <w:t>15/5/202</w:t>
            </w:r>
            <w:r w:rsidR="00AF318B">
              <w:rPr>
                <w:rFonts w:ascii="Tahoma" w:hAnsi="Tahoma" w:cs="Tahoma"/>
                <w:sz w:val="20"/>
                <w:szCs w:val="20"/>
              </w:rPr>
              <w:t>4</w:t>
            </w:r>
          </w:p>
        </w:tc>
      </w:tr>
    </w:tbl>
    <w:p w14:paraId="272FEB3E" w14:textId="7DF1D11A" w:rsidR="004D1C0A" w:rsidRPr="00B15171" w:rsidRDefault="004D1C0A" w:rsidP="00B15171">
      <w:pPr>
        <w:spacing w:after="200" w:line="360" w:lineRule="auto"/>
        <w:jc w:val="both"/>
        <w:rPr>
          <w:rFonts w:ascii="Tahoma" w:hAnsi="Tahoma" w:cs="Tahoma"/>
          <w:sz w:val="20"/>
          <w:szCs w:val="20"/>
        </w:rPr>
      </w:pPr>
    </w:p>
    <w:p w14:paraId="618BBF54" w14:textId="758B6CB1"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Il 15/4/202</w:t>
      </w:r>
      <w:r w:rsidR="00AF318B">
        <w:rPr>
          <w:rFonts w:ascii="Tahoma" w:hAnsi="Tahoma" w:cs="Tahoma"/>
          <w:sz w:val="20"/>
          <w:szCs w:val="20"/>
        </w:rPr>
        <w:t>4</w:t>
      </w:r>
      <w:r w:rsidRPr="00B15171">
        <w:rPr>
          <w:rFonts w:ascii="Tahoma" w:hAnsi="Tahoma" w:cs="Tahoma"/>
          <w:sz w:val="20"/>
          <w:szCs w:val="20"/>
        </w:rPr>
        <w:t>, l’anzianità del debito sarebbe la seguente:</w:t>
      </w:r>
    </w:p>
    <w:p w14:paraId="37B84A02" w14:textId="0BCA7F8D"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Bianchi spa: 1</w:t>
      </w:r>
      <w:r w:rsidR="004B21F6" w:rsidRPr="00B15171">
        <w:rPr>
          <w:rFonts w:ascii="Tahoma" w:hAnsi="Tahoma" w:cs="Tahoma"/>
          <w:sz w:val="20"/>
          <w:szCs w:val="20"/>
        </w:rPr>
        <w:t>05</w:t>
      </w:r>
      <w:r w:rsidRPr="00B15171">
        <w:rPr>
          <w:rFonts w:ascii="Tahoma" w:hAnsi="Tahoma" w:cs="Tahoma"/>
          <w:sz w:val="20"/>
          <w:szCs w:val="20"/>
        </w:rPr>
        <w:t xml:space="preserve"> giorni</w:t>
      </w:r>
    </w:p>
    <w:p w14:paraId="4750E562" w14:textId="0C247A04"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Rossi srl: 46 giorni</w:t>
      </w:r>
    </w:p>
    <w:p w14:paraId="7F117C47" w14:textId="21BFF5DD"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Verdi &amp; c. srl: non scaduto</w:t>
      </w:r>
    </w:p>
    <w:p w14:paraId="632E82F1" w14:textId="0023408E"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Gialli coop: non scaduto</w:t>
      </w:r>
    </w:p>
    <w:p w14:paraId="77C7F010" w14:textId="44897769"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questo caso, quindi i debiti scaduti da oltre 90 giorni (100) sono inferiori ai debiti non scaduti (60+50=110) e quindi il segnale non scatta.</w:t>
      </w:r>
    </w:p>
    <w:p w14:paraId="05EC00D2" w14:textId="1E580040"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 xml:space="preserve">Il debito scaduto da meno di 90 giorni </w:t>
      </w:r>
      <w:r w:rsidR="004B21F6" w:rsidRPr="00B15171">
        <w:rPr>
          <w:rFonts w:ascii="Tahoma" w:hAnsi="Tahoma" w:cs="Tahoma"/>
          <w:sz w:val="20"/>
          <w:szCs w:val="20"/>
        </w:rPr>
        <w:t xml:space="preserve">(30) </w:t>
      </w:r>
      <w:r w:rsidRPr="00B15171">
        <w:rPr>
          <w:rFonts w:ascii="Tahoma" w:hAnsi="Tahoma" w:cs="Tahoma"/>
          <w:sz w:val="20"/>
          <w:szCs w:val="20"/>
        </w:rPr>
        <w:t>non entra nel confronto.</w:t>
      </w:r>
    </w:p>
    <w:p w14:paraId="76CCDE8D" w14:textId="63702901"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Il primo maggio la situazione, se non sono stati eseguiti pagamenti, sarebbe diversa. L’anzianità sarebbe la seguente:</w:t>
      </w:r>
    </w:p>
    <w:p w14:paraId="107589C8" w14:textId="7E8AC11E"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Bianchi spa: 12</w:t>
      </w:r>
      <w:r w:rsidR="004B21F6" w:rsidRPr="00B15171">
        <w:rPr>
          <w:rFonts w:ascii="Tahoma" w:hAnsi="Tahoma" w:cs="Tahoma"/>
          <w:sz w:val="20"/>
          <w:szCs w:val="20"/>
        </w:rPr>
        <w:t>1</w:t>
      </w:r>
      <w:r w:rsidRPr="00B15171">
        <w:rPr>
          <w:rFonts w:ascii="Tahoma" w:hAnsi="Tahoma" w:cs="Tahoma"/>
          <w:sz w:val="20"/>
          <w:szCs w:val="20"/>
        </w:rPr>
        <w:t xml:space="preserve"> giorni</w:t>
      </w:r>
    </w:p>
    <w:p w14:paraId="08337B40" w14:textId="28C78E9A"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 xml:space="preserve">Rossi srl: </w:t>
      </w:r>
      <w:r w:rsidR="004B21F6" w:rsidRPr="00B15171">
        <w:rPr>
          <w:rFonts w:ascii="Tahoma" w:hAnsi="Tahoma" w:cs="Tahoma"/>
          <w:sz w:val="20"/>
          <w:szCs w:val="20"/>
        </w:rPr>
        <w:t>62</w:t>
      </w:r>
      <w:r w:rsidRPr="00B15171">
        <w:rPr>
          <w:rFonts w:ascii="Tahoma" w:hAnsi="Tahoma" w:cs="Tahoma"/>
          <w:sz w:val="20"/>
          <w:szCs w:val="20"/>
        </w:rPr>
        <w:t xml:space="preserve"> giorni</w:t>
      </w:r>
    </w:p>
    <w:p w14:paraId="3A0C0591" w14:textId="3DEEA254"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 xml:space="preserve">Verdi &amp; c. srl: </w:t>
      </w:r>
      <w:r w:rsidR="004B21F6" w:rsidRPr="00B15171">
        <w:rPr>
          <w:rFonts w:ascii="Tahoma" w:hAnsi="Tahoma" w:cs="Tahoma"/>
          <w:sz w:val="20"/>
          <w:szCs w:val="20"/>
        </w:rPr>
        <w:t>1 giorno</w:t>
      </w:r>
    </w:p>
    <w:p w14:paraId="43D54CA3" w14:textId="60E1E5A7" w:rsidR="004D1C0A" w:rsidRPr="00B15171" w:rsidRDefault="004D1C0A" w:rsidP="00B15171">
      <w:pPr>
        <w:spacing w:after="200" w:line="360" w:lineRule="auto"/>
        <w:jc w:val="both"/>
        <w:rPr>
          <w:rFonts w:ascii="Tahoma" w:hAnsi="Tahoma" w:cs="Tahoma"/>
          <w:sz w:val="20"/>
          <w:szCs w:val="20"/>
        </w:rPr>
      </w:pPr>
      <w:r w:rsidRPr="00B15171">
        <w:rPr>
          <w:rFonts w:ascii="Tahoma" w:hAnsi="Tahoma" w:cs="Tahoma"/>
          <w:sz w:val="20"/>
          <w:szCs w:val="20"/>
        </w:rPr>
        <w:t>Gialli coop: non scaduto</w:t>
      </w:r>
    </w:p>
    <w:p w14:paraId="502BDC52" w14:textId="3EC2BF32" w:rsidR="004B21F6" w:rsidRPr="00B15171" w:rsidRDefault="004B21F6" w:rsidP="00B15171">
      <w:pPr>
        <w:spacing w:after="200" w:line="360" w:lineRule="auto"/>
        <w:jc w:val="both"/>
        <w:rPr>
          <w:rFonts w:ascii="Tahoma" w:hAnsi="Tahoma" w:cs="Tahoma"/>
          <w:sz w:val="20"/>
          <w:szCs w:val="20"/>
        </w:rPr>
      </w:pPr>
      <w:r w:rsidRPr="00B15171">
        <w:rPr>
          <w:rFonts w:ascii="Tahoma" w:hAnsi="Tahoma" w:cs="Tahoma"/>
          <w:sz w:val="20"/>
          <w:szCs w:val="20"/>
        </w:rPr>
        <w:t>In questo caso, quindi i debiti scaduti da oltre 90 giorni (100) sono superiori ai debiti non scaduti (50) e quindi il segnale scatta.</w:t>
      </w:r>
    </w:p>
    <w:p w14:paraId="64264B4B" w14:textId="55341B2C" w:rsidR="004B21F6" w:rsidRPr="00B15171" w:rsidRDefault="004B21F6" w:rsidP="00B15171">
      <w:pPr>
        <w:spacing w:after="200" w:line="360" w:lineRule="auto"/>
        <w:jc w:val="both"/>
        <w:rPr>
          <w:rFonts w:ascii="Tahoma" w:hAnsi="Tahoma" w:cs="Tahoma"/>
          <w:sz w:val="20"/>
          <w:szCs w:val="20"/>
        </w:rPr>
      </w:pPr>
      <w:r w:rsidRPr="00B15171">
        <w:rPr>
          <w:rFonts w:ascii="Tahoma" w:hAnsi="Tahoma" w:cs="Tahoma"/>
          <w:sz w:val="20"/>
          <w:szCs w:val="20"/>
        </w:rPr>
        <w:t>I debiti scaduti da meno di 90 giorni (30+60) non entrano nel confronto.</w:t>
      </w:r>
    </w:p>
    <w:p w14:paraId="103DA712" w14:textId="797EFFB6" w:rsidR="004B21F6"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4B21F6" w:rsidRPr="00B15171">
        <w:rPr>
          <w:rFonts w:ascii="Tahoma" w:hAnsi="Tahoma" w:cs="Tahoma"/>
          <w:sz w:val="20"/>
          <w:szCs w:val="20"/>
        </w:rPr>
        <w:t xml:space="preserve"> evidente quindi come occorra implementare gli ordinari programmi di contabilità considerando la necessità di gestire le scadenze dei fornitori. In assenza del controllo dello scadenziario potrebbe infatti fatalmente accadere che la situazione di mancato pagamento dei fornitori scaduti diventi rilevante, senza che la società se ne accorga.</w:t>
      </w:r>
    </w:p>
    <w:p w14:paraId="70DF6CF2" w14:textId="77777777" w:rsidR="00493351" w:rsidRDefault="00493351" w:rsidP="00B15171">
      <w:pPr>
        <w:spacing w:after="200" w:line="360" w:lineRule="auto"/>
        <w:jc w:val="both"/>
        <w:rPr>
          <w:rFonts w:ascii="Tahoma" w:hAnsi="Tahoma" w:cs="Tahoma"/>
          <w:b/>
          <w:bCs/>
          <w:i/>
          <w:iCs/>
          <w:sz w:val="20"/>
          <w:szCs w:val="20"/>
        </w:rPr>
      </w:pPr>
    </w:p>
    <w:p w14:paraId="58773E50" w14:textId="079B6E34" w:rsidR="004B21F6" w:rsidRDefault="004B21F6"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t>III segnale</w:t>
      </w:r>
      <w:r w:rsidR="00AF459B" w:rsidRPr="00B15171">
        <w:rPr>
          <w:rFonts w:ascii="Tahoma" w:hAnsi="Tahoma" w:cs="Tahoma"/>
          <w:b/>
          <w:bCs/>
          <w:i/>
          <w:iCs/>
          <w:sz w:val="20"/>
          <w:szCs w:val="20"/>
        </w:rPr>
        <w:t>: esposizioni verso le banche</w:t>
      </w:r>
    </w:p>
    <w:p w14:paraId="42462485" w14:textId="77777777" w:rsidR="00312A65" w:rsidRDefault="00312A65" w:rsidP="00B15171">
      <w:pPr>
        <w:spacing w:after="200" w:line="360" w:lineRule="auto"/>
        <w:jc w:val="both"/>
        <w:rPr>
          <w:rFonts w:ascii="Tahoma" w:hAnsi="Tahoma" w:cs="Tahoma"/>
          <w:b/>
          <w:bCs/>
          <w:i/>
          <w:iCs/>
          <w:sz w:val="20"/>
          <w:szCs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850"/>
        <w:gridCol w:w="3958"/>
      </w:tblGrid>
      <w:tr w:rsidR="00312A65" w:rsidRPr="00312A65" w14:paraId="710BBDC7" w14:textId="77777777" w:rsidTr="00493351">
        <w:trPr>
          <w:jc w:val="center"/>
        </w:trPr>
        <w:tc>
          <w:tcPr>
            <w:tcW w:w="4820" w:type="dxa"/>
          </w:tcPr>
          <w:p w14:paraId="31A628AC" w14:textId="77777777"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esposizioni nei confronti delle banche scadute da più di 60 giorni</w:t>
            </w:r>
          </w:p>
          <w:p w14:paraId="4BCDFF5B" w14:textId="4E7315E4"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o che abbiano superato da almeno 60 giorni il limite degli affidamenti</w:t>
            </w:r>
          </w:p>
        </w:tc>
        <w:tc>
          <w:tcPr>
            <w:tcW w:w="850" w:type="dxa"/>
          </w:tcPr>
          <w:p w14:paraId="38CA114A" w14:textId="41E9D579"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&gt;</w:t>
            </w:r>
          </w:p>
        </w:tc>
        <w:tc>
          <w:tcPr>
            <w:tcW w:w="3958" w:type="dxa"/>
          </w:tcPr>
          <w:p w14:paraId="3B060572" w14:textId="3924F701" w:rsidR="00312A65" w:rsidRPr="00312A65" w:rsidRDefault="00312A65" w:rsidP="00312A65">
            <w:pPr>
              <w:spacing w:after="200" w:line="360" w:lineRule="auto"/>
              <w:jc w:val="center"/>
              <w:rPr>
                <w:rFonts w:ascii="Tahoma" w:hAnsi="Tahoma" w:cs="Tahoma"/>
                <w:sz w:val="20"/>
                <w:szCs w:val="20"/>
              </w:rPr>
            </w:pPr>
            <w:r w:rsidRPr="00312A65">
              <w:rPr>
                <w:rFonts w:ascii="Tahoma" w:hAnsi="Tahoma" w:cs="Tahoma"/>
                <w:sz w:val="20"/>
                <w:szCs w:val="20"/>
              </w:rPr>
              <w:t>5% del totale delle esposizioni</w:t>
            </w:r>
          </w:p>
        </w:tc>
      </w:tr>
    </w:tbl>
    <w:p w14:paraId="4F907101" w14:textId="77777777" w:rsidR="002A0C90" w:rsidRPr="00B15171" w:rsidRDefault="002A0C90" w:rsidP="00B15171">
      <w:pPr>
        <w:spacing w:after="200" w:line="360" w:lineRule="auto"/>
        <w:jc w:val="both"/>
        <w:rPr>
          <w:rFonts w:ascii="Tahoma" w:hAnsi="Tahoma" w:cs="Tahoma"/>
          <w:sz w:val="20"/>
          <w:szCs w:val="20"/>
        </w:rPr>
      </w:pPr>
    </w:p>
    <w:p w14:paraId="49BEBA19" w14:textId="7D561FA3" w:rsidR="004D1C0A" w:rsidRPr="00B15171" w:rsidRDefault="004B21F6" w:rsidP="00B15171">
      <w:pPr>
        <w:spacing w:after="200" w:line="360" w:lineRule="auto"/>
        <w:jc w:val="both"/>
        <w:rPr>
          <w:rFonts w:ascii="Tahoma" w:hAnsi="Tahoma" w:cs="Tahoma"/>
          <w:sz w:val="20"/>
          <w:szCs w:val="20"/>
        </w:rPr>
      </w:pPr>
      <w:r w:rsidRPr="00B15171">
        <w:rPr>
          <w:rFonts w:ascii="Tahoma" w:hAnsi="Tahoma" w:cs="Tahoma"/>
          <w:sz w:val="20"/>
          <w:szCs w:val="20"/>
        </w:rPr>
        <w:t>Questo segnale è la combinazione di dati extracontabili (esposizioni verso le banche o verso gli altri intermediari finanziari scaduti da oltre 60 giorni o fuori fido da oltre 60 giorni) e del dato contabile del totale delle esposizioni</w:t>
      </w:r>
      <w:r w:rsidR="00AF318B">
        <w:rPr>
          <w:rFonts w:ascii="Tahoma" w:hAnsi="Tahoma" w:cs="Tahoma"/>
          <w:sz w:val="20"/>
          <w:szCs w:val="20"/>
        </w:rPr>
        <w:t xml:space="preserve"> verso le banche</w:t>
      </w:r>
      <w:r w:rsidR="00AF459B" w:rsidRPr="00B15171">
        <w:rPr>
          <w:rFonts w:ascii="Tahoma" w:hAnsi="Tahoma" w:cs="Tahoma"/>
          <w:sz w:val="20"/>
          <w:szCs w:val="20"/>
        </w:rPr>
        <w:t>.</w:t>
      </w:r>
    </w:p>
    <w:p w14:paraId="6C0150AF" w14:textId="310E5D29" w:rsidR="00AF459B" w:rsidRPr="00B15171" w:rsidRDefault="00AF459B"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Pertanto il sistema amministrativo – contabile deve riuscire a individuare la scadenza delle esposizioni nei confronti delle banche ovvero a tenere presente il duplice dato del limite dell’affidamento e del decorso del tempo.</w:t>
      </w:r>
    </w:p>
    <w:p w14:paraId="4233923B" w14:textId="1824D5B1" w:rsidR="00AF459B" w:rsidRPr="00B15171" w:rsidRDefault="00AF459B" w:rsidP="00B15171">
      <w:pPr>
        <w:spacing w:after="200" w:line="360" w:lineRule="auto"/>
        <w:jc w:val="both"/>
        <w:rPr>
          <w:rFonts w:ascii="Tahoma" w:hAnsi="Tahoma" w:cs="Tahoma"/>
          <w:sz w:val="20"/>
          <w:szCs w:val="20"/>
        </w:rPr>
      </w:pPr>
      <w:r w:rsidRPr="00B15171">
        <w:rPr>
          <w:rFonts w:ascii="Tahoma" w:hAnsi="Tahoma" w:cs="Tahoma"/>
          <w:sz w:val="20"/>
          <w:szCs w:val="20"/>
        </w:rPr>
        <w:t>Qualora al 30/4/202</w:t>
      </w:r>
      <w:r w:rsidR="00AF318B">
        <w:rPr>
          <w:rFonts w:ascii="Tahoma" w:hAnsi="Tahoma" w:cs="Tahoma"/>
          <w:sz w:val="20"/>
          <w:szCs w:val="20"/>
        </w:rPr>
        <w:t>4</w:t>
      </w:r>
      <w:r w:rsidRPr="00B15171">
        <w:rPr>
          <w:rFonts w:ascii="Tahoma" w:hAnsi="Tahoma" w:cs="Tahoma"/>
          <w:sz w:val="20"/>
          <w:szCs w:val="20"/>
        </w:rPr>
        <w:t xml:space="preserve"> il totale delle esposizioni ammonti a 100 e la società sia fuori fido da prima del 28/2/202</w:t>
      </w:r>
      <w:r w:rsidR="00AF318B">
        <w:rPr>
          <w:rFonts w:ascii="Tahoma" w:hAnsi="Tahoma" w:cs="Tahoma"/>
          <w:sz w:val="20"/>
          <w:szCs w:val="20"/>
        </w:rPr>
        <w:t>4</w:t>
      </w:r>
      <w:r w:rsidRPr="00B15171">
        <w:rPr>
          <w:rFonts w:ascii="Tahoma" w:hAnsi="Tahoma" w:cs="Tahoma"/>
          <w:sz w:val="20"/>
          <w:szCs w:val="20"/>
        </w:rPr>
        <w:t>, con un’esposizione di 6, si avrà il verificarsi della situazione di allarme.</w:t>
      </w:r>
    </w:p>
    <w:p w14:paraId="71175D93" w14:textId="77777777" w:rsidR="00493351" w:rsidRDefault="00493351" w:rsidP="00B15171">
      <w:pPr>
        <w:spacing w:after="200" w:line="360" w:lineRule="auto"/>
        <w:jc w:val="both"/>
        <w:rPr>
          <w:rFonts w:ascii="Tahoma" w:hAnsi="Tahoma" w:cs="Tahoma"/>
          <w:b/>
          <w:bCs/>
          <w:i/>
          <w:iCs/>
          <w:sz w:val="20"/>
          <w:szCs w:val="20"/>
        </w:rPr>
      </w:pPr>
    </w:p>
    <w:p w14:paraId="05E2D674" w14:textId="466378A0" w:rsidR="00AF459B" w:rsidRPr="00312A65" w:rsidRDefault="00AF459B" w:rsidP="00B15171">
      <w:pPr>
        <w:spacing w:after="200" w:line="360" w:lineRule="auto"/>
        <w:jc w:val="both"/>
        <w:rPr>
          <w:rFonts w:ascii="Tahoma" w:hAnsi="Tahoma" w:cs="Tahoma"/>
          <w:b/>
          <w:bCs/>
          <w:i/>
          <w:iCs/>
          <w:sz w:val="20"/>
          <w:szCs w:val="20"/>
        </w:rPr>
      </w:pPr>
      <w:r w:rsidRPr="00B15171">
        <w:rPr>
          <w:rFonts w:ascii="Tahoma" w:hAnsi="Tahoma" w:cs="Tahoma"/>
          <w:b/>
          <w:bCs/>
          <w:i/>
          <w:iCs/>
          <w:sz w:val="20"/>
          <w:szCs w:val="20"/>
        </w:rPr>
        <w:t>IV segnale: esposizione rilevante per imposte o contributi</w:t>
      </w:r>
    </w:p>
    <w:p w14:paraId="2B6AFB8A" w14:textId="20D49092" w:rsidR="00AF459B" w:rsidRPr="00B15171" w:rsidRDefault="00AF459B" w:rsidP="00B15171">
      <w:pPr>
        <w:spacing w:after="200" w:line="360" w:lineRule="auto"/>
        <w:jc w:val="both"/>
        <w:rPr>
          <w:rFonts w:ascii="Tahoma" w:hAnsi="Tahoma" w:cs="Tahoma"/>
          <w:sz w:val="20"/>
          <w:szCs w:val="20"/>
        </w:rPr>
      </w:pPr>
      <w:r w:rsidRPr="00B15171">
        <w:rPr>
          <w:rFonts w:ascii="Tahoma" w:hAnsi="Tahoma" w:cs="Tahoma"/>
          <w:sz w:val="20"/>
          <w:szCs w:val="20"/>
        </w:rPr>
        <w:t>L’ultimo segnale della crisi è costituito dalla sussistenza di una esposizione rilevante ai sensi dell’art. 25-</w:t>
      </w:r>
      <w:r w:rsidRPr="00B15171">
        <w:rPr>
          <w:rFonts w:ascii="Tahoma" w:hAnsi="Tahoma" w:cs="Tahoma"/>
          <w:i/>
          <w:iCs/>
          <w:sz w:val="20"/>
          <w:szCs w:val="20"/>
        </w:rPr>
        <w:t xml:space="preserve">novies, </w:t>
      </w:r>
      <w:r w:rsidRPr="00B15171">
        <w:rPr>
          <w:rFonts w:ascii="Tahoma" w:hAnsi="Tahoma" w:cs="Tahoma"/>
          <w:sz w:val="20"/>
          <w:szCs w:val="20"/>
        </w:rPr>
        <w:t>comma 1, del CCII.</w:t>
      </w:r>
    </w:p>
    <w:p w14:paraId="23546E51" w14:textId="5D798D4B"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Tale esposizione deve verificarsi verso i cosiddetti creditori pubblici qualificati, che sono individuati dalla legge, nell’Inps, nell’Inail, nell’Agenzia delle Entrate e nell’Agenzia delle Entrate – Riscossione.</w:t>
      </w:r>
    </w:p>
    <w:p w14:paraId="597FBB1B" w14:textId="1B2E6E6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Il dettaglio è il seguente:</w:t>
      </w:r>
    </w:p>
    <w:p w14:paraId="09D65386" w14:textId="7FD2F82D" w:rsidR="00A95108" w:rsidRPr="00B15171" w:rsidRDefault="004D0132" w:rsidP="00B15171">
      <w:pPr>
        <w:spacing w:after="200" w:line="360" w:lineRule="auto"/>
        <w:jc w:val="both"/>
        <w:rPr>
          <w:rFonts w:ascii="Tahoma" w:hAnsi="Tahoma" w:cs="Tahoma"/>
          <w:sz w:val="20"/>
          <w:szCs w:val="20"/>
        </w:rPr>
      </w:pPr>
      <w:r>
        <w:rPr>
          <w:rFonts w:ascii="Tahoma" w:hAnsi="Tahoma" w:cs="Tahoma"/>
          <w:sz w:val="20"/>
          <w:szCs w:val="20"/>
        </w:rPr>
        <w:t xml:space="preserve">- </w:t>
      </w:r>
      <w:r w:rsidR="00A95108" w:rsidRPr="00B15171">
        <w:rPr>
          <w:rFonts w:ascii="Tahoma" w:hAnsi="Tahoma" w:cs="Tahoma"/>
          <w:sz w:val="20"/>
          <w:szCs w:val="20"/>
        </w:rPr>
        <w:t>INPS</w:t>
      </w:r>
    </w:p>
    <w:p w14:paraId="59C3FEC3" w14:textId="1A2B852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 xml:space="preserve">Ritardo di oltre 90 giorni nel versamento di contributi per un importo </w:t>
      </w:r>
    </w:p>
    <w:p w14:paraId="12A124FC" w14:textId="3EF94977"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 xml:space="preserve">&gt; 30% dei contributi dell’anno precedente e </w:t>
      </w:r>
    </w:p>
    <w:p w14:paraId="79D3B8C2" w14:textId="49CE3A1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&gt;  15.000 Euro</w:t>
      </w:r>
    </w:p>
    <w:p w14:paraId="346CFCEE" w14:textId="5F4F5949"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per le imprese con lavoratori subordinati e parasubordinati</w:t>
      </w:r>
    </w:p>
    <w:p w14:paraId="272D8889" w14:textId="77777777"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 xml:space="preserve">Ritardo di oltre 90 giorni nel versamento di contributi per un importo </w:t>
      </w:r>
    </w:p>
    <w:p w14:paraId="3F9EFC34" w14:textId="5798C1DC"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&gt;  5.000 Euro</w:t>
      </w:r>
    </w:p>
    <w:p w14:paraId="444FE315" w14:textId="022131DF" w:rsidR="00A95108" w:rsidRPr="00B15171" w:rsidRDefault="00A95108" w:rsidP="00B15171">
      <w:pPr>
        <w:spacing w:after="200" w:line="360" w:lineRule="auto"/>
        <w:jc w:val="both"/>
        <w:rPr>
          <w:rFonts w:ascii="Tahoma" w:hAnsi="Tahoma" w:cs="Tahoma"/>
          <w:sz w:val="20"/>
          <w:szCs w:val="20"/>
        </w:rPr>
      </w:pPr>
      <w:r w:rsidRPr="00B15171">
        <w:rPr>
          <w:rFonts w:ascii="Tahoma" w:hAnsi="Tahoma" w:cs="Tahoma"/>
          <w:sz w:val="20"/>
          <w:szCs w:val="20"/>
        </w:rPr>
        <w:t>per le imprese senza lavoratori subordinati e parasubordinati</w:t>
      </w:r>
    </w:p>
    <w:p w14:paraId="4835C0FE" w14:textId="285D752E" w:rsidR="00A95108" w:rsidRPr="00B15171" w:rsidRDefault="004D0132" w:rsidP="00B15171">
      <w:pPr>
        <w:spacing w:after="200" w:line="360" w:lineRule="auto"/>
        <w:jc w:val="both"/>
        <w:rPr>
          <w:rFonts w:ascii="Tahoma" w:hAnsi="Tahoma" w:cs="Tahoma"/>
          <w:sz w:val="20"/>
          <w:szCs w:val="20"/>
        </w:rPr>
      </w:pPr>
      <w:r>
        <w:rPr>
          <w:rFonts w:ascii="Tahoma" w:hAnsi="Tahoma" w:cs="Tahoma"/>
          <w:sz w:val="20"/>
          <w:szCs w:val="20"/>
        </w:rPr>
        <w:t xml:space="preserve">- </w:t>
      </w:r>
      <w:r w:rsidR="00A95108" w:rsidRPr="00B15171">
        <w:rPr>
          <w:rFonts w:ascii="Tahoma" w:hAnsi="Tahoma" w:cs="Tahoma"/>
          <w:sz w:val="20"/>
          <w:szCs w:val="20"/>
        </w:rPr>
        <w:t>INAIL</w:t>
      </w:r>
    </w:p>
    <w:p w14:paraId="50140C7E" w14:textId="5C7090A3" w:rsidR="00A95108"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Ritardo nel versamento </w:t>
      </w:r>
    </w:p>
    <w:p w14:paraId="65699DCC" w14:textId="3DB6E690"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&gt; </w:t>
      </w:r>
      <w:r w:rsidR="002A0C90" w:rsidRPr="00B15171">
        <w:rPr>
          <w:rFonts w:ascii="Tahoma" w:hAnsi="Tahoma" w:cs="Tahoma"/>
          <w:sz w:val="20"/>
          <w:szCs w:val="20"/>
        </w:rPr>
        <w:t>di</w:t>
      </w:r>
      <w:r w:rsidRPr="00B15171">
        <w:rPr>
          <w:rFonts w:ascii="Tahoma" w:hAnsi="Tahoma" w:cs="Tahoma"/>
          <w:sz w:val="20"/>
          <w:szCs w:val="20"/>
        </w:rPr>
        <w:t xml:space="preserve"> 90 giorni</w:t>
      </w:r>
    </w:p>
    <w:p w14:paraId="0D7BA23F" w14:textId="4E82DE26"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5.000 Euro</w:t>
      </w:r>
    </w:p>
    <w:p w14:paraId="6FDF1B52" w14:textId="77777777" w:rsidR="00312A65" w:rsidRDefault="00312A65">
      <w:pPr>
        <w:spacing w:after="160" w:line="259" w:lineRule="auto"/>
        <w:rPr>
          <w:rFonts w:ascii="Tahoma" w:hAnsi="Tahoma" w:cs="Tahoma"/>
          <w:sz w:val="20"/>
          <w:szCs w:val="20"/>
        </w:rPr>
      </w:pPr>
      <w:r>
        <w:rPr>
          <w:rFonts w:ascii="Tahoma" w:hAnsi="Tahoma" w:cs="Tahoma"/>
          <w:sz w:val="20"/>
          <w:szCs w:val="20"/>
        </w:rPr>
        <w:br w:type="page"/>
      </w:r>
    </w:p>
    <w:p w14:paraId="41A84C04" w14:textId="12686F9A" w:rsidR="00312A65" w:rsidRDefault="004D0132" w:rsidP="00312A65">
      <w:pPr>
        <w:spacing w:after="200" w:line="360" w:lineRule="auto"/>
        <w:jc w:val="both"/>
        <w:rPr>
          <w:rFonts w:ascii="Tahoma" w:hAnsi="Tahoma" w:cs="Tahoma"/>
          <w:sz w:val="20"/>
          <w:szCs w:val="20"/>
        </w:rPr>
      </w:pPr>
      <w:r>
        <w:rPr>
          <w:rFonts w:ascii="Tahoma" w:hAnsi="Tahoma" w:cs="Tahoma"/>
          <w:sz w:val="20"/>
          <w:szCs w:val="20"/>
        </w:rPr>
        <w:lastRenderedPageBreak/>
        <w:t xml:space="preserve">- </w:t>
      </w:r>
      <w:r w:rsidR="00CF4F53" w:rsidRPr="00B15171">
        <w:rPr>
          <w:rFonts w:ascii="Tahoma" w:hAnsi="Tahoma" w:cs="Tahoma"/>
          <w:sz w:val="20"/>
          <w:szCs w:val="20"/>
        </w:rPr>
        <w:t>AGENZIA DELLE ENTRATE</w:t>
      </w:r>
    </w:p>
    <w:p w14:paraId="4618F81E" w14:textId="0F18B36E"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IVA:</w:t>
      </w:r>
    </w:p>
    <w:p w14:paraId="125B8B7C" w14:textId="7D24C8B6"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Debito scaduto e non versato derivante da liquidazione periodica</w:t>
      </w:r>
    </w:p>
    <w:p w14:paraId="0734EAF4" w14:textId="398F2667"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5.000 Euro</w:t>
      </w:r>
    </w:p>
    <w:p w14:paraId="43C12199" w14:textId="5CD8CE95"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&gt; </w:t>
      </w:r>
      <w:r w:rsidR="002A0C90" w:rsidRPr="00B15171">
        <w:rPr>
          <w:rFonts w:ascii="Tahoma" w:hAnsi="Tahoma" w:cs="Tahoma"/>
          <w:sz w:val="20"/>
          <w:szCs w:val="20"/>
        </w:rPr>
        <w:t>de</w:t>
      </w:r>
      <w:r w:rsidRPr="00B15171">
        <w:rPr>
          <w:rFonts w:ascii="Tahoma" w:hAnsi="Tahoma" w:cs="Tahoma"/>
          <w:sz w:val="20"/>
          <w:szCs w:val="20"/>
        </w:rPr>
        <w:t>l 10% del volume d’affari dell’anno precedente</w:t>
      </w:r>
    </w:p>
    <w:p w14:paraId="0E313613" w14:textId="0D91431C"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Segnalazione obbligatoria se il debito &gt; 20.000 Euro</w:t>
      </w:r>
    </w:p>
    <w:p w14:paraId="04328415" w14:textId="4D750C91" w:rsidR="00CF4F53" w:rsidRPr="00B15171" w:rsidRDefault="004D0132" w:rsidP="00B15171">
      <w:pPr>
        <w:spacing w:after="200" w:line="360" w:lineRule="auto"/>
        <w:jc w:val="both"/>
        <w:rPr>
          <w:rFonts w:ascii="Tahoma" w:hAnsi="Tahoma" w:cs="Tahoma"/>
          <w:sz w:val="20"/>
          <w:szCs w:val="20"/>
        </w:rPr>
      </w:pPr>
      <w:r>
        <w:rPr>
          <w:rFonts w:ascii="Tahoma" w:hAnsi="Tahoma" w:cs="Tahoma"/>
          <w:sz w:val="20"/>
          <w:szCs w:val="20"/>
        </w:rPr>
        <w:t xml:space="preserve">- </w:t>
      </w:r>
      <w:r w:rsidR="00CF4F53" w:rsidRPr="00B15171">
        <w:rPr>
          <w:rFonts w:ascii="Tahoma" w:hAnsi="Tahoma" w:cs="Tahoma"/>
          <w:sz w:val="20"/>
          <w:szCs w:val="20"/>
        </w:rPr>
        <w:t>AGENZIA DELLE ENTRATE – RISCOSSIONE</w:t>
      </w:r>
    </w:p>
    <w:p w14:paraId="3E124395" w14:textId="22C52B22"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 xml:space="preserve">Crediti affidati per la riscossione, </w:t>
      </w:r>
      <w:proofErr w:type="spellStart"/>
      <w:r w:rsidRPr="00B15171">
        <w:rPr>
          <w:rFonts w:ascii="Tahoma" w:hAnsi="Tahoma" w:cs="Tahoma"/>
          <w:sz w:val="20"/>
          <w:szCs w:val="20"/>
        </w:rPr>
        <w:t>autodichiarati</w:t>
      </w:r>
      <w:proofErr w:type="spellEnd"/>
      <w:r w:rsidRPr="00B15171">
        <w:rPr>
          <w:rFonts w:ascii="Tahoma" w:hAnsi="Tahoma" w:cs="Tahoma"/>
          <w:sz w:val="20"/>
          <w:szCs w:val="20"/>
        </w:rPr>
        <w:t xml:space="preserve"> o definitivamente accertati</w:t>
      </w:r>
    </w:p>
    <w:p w14:paraId="01147A91" w14:textId="7DE8DCAD"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Scaduti da oltre 90 giorni</w:t>
      </w:r>
    </w:p>
    <w:p w14:paraId="6966DD65" w14:textId="123AA811"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100.000 Euro per le imprese individuali</w:t>
      </w:r>
    </w:p>
    <w:p w14:paraId="6F4E4C85" w14:textId="02A17937"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200.000 Euro per le società di persone</w:t>
      </w:r>
    </w:p>
    <w:p w14:paraId="48BEBD0E" w14:textId="18C8317C"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rPr>
        <w:t>&gt; 500.000 Euro per le società di capitali e le altre società</w:t>
      </w:r>
    </w:p>
    <w:p w14:paraId="1C062B8E" w14:textId="11D5C977" w:rsidR="00CF4F53" w:rsidRPr="00B15171" w:rsidRDefault="00CF4F53" w:rsidP="00B15171">
      <w:pPr>
        <w:spacing w:after="200" w:line="360" w:lineRule="auto"/>
        <w:jc w:val="both"/>
        <w:rPr>
          <w:rFonts w:ascii="Tahoma" w:hAnsi="Tahoma" w:cs="Tahoma"/>
          <w:sz w:val="20"/>
          <w:szCs w:val="20"/>
        </w:rPr>
      </w:pPr>
      <w:r w:rsidRPr="00B15171">
        <w:rPr>
          <w:rFonts w:ascii="Tahoma" w:hAnsi="Tahoma" w:cs="Tahoma"/>
          <w:sz w:val="20"/>
          <w:szCs w:val="20"/>
          <w:u w:val="single"/>
        </w:rPr>
        <w:t>La segnalazione va inviata all’imprenditore e, ove esistente, all’organo di controllo</w:t>
      </w:r>
      <w:r w:rsidRPr="00B15171">
        <w:rPr>
          <w:rFonts w:ascii="Tahoma" w:hAnsi="Tahoma" w:cs="Tahoma"/>
          <w:sz w:val="20"/>
          <w:szCs w:val="20"/>
        </w:rPr>
        <w:t xml:space="preserve"> ed in caso di organo collegiale, al presidente del collegio sindacale.</w:t>
      </w:r>
    </w:p>
    <w:p w14:paraId="519E84DD" w14:textId="54AC7537" w:rsidR="00CF4F53" w:rsidRPr="00B15171" w:rsidRDefault="00CF4F53" w:rsidP="00B15171">
      <w:pPr>
        <w:spacing w:after="200" w:line="360" w:lineRule="auto"/>
        <w:jc w:val="both"/>
        <w:rPr>
          <w:rFonts w:ascii="Tahoma" w:hAnsi="Tahoma" w:cs="Tahoma"/>
          <w:sz w:val="20"/>
          <w:szCs w:val="20"/>
        </w:rPr>
      </w:pPr>
    </w:p>
    <w:p w14:paraId="1995F4D9" w14:textId="2833C976" w:rsidR="001C0B28" w:rsidRPr="00B15171" w:rsidRDefault="00A8032F" w:rsidP="00B15171">
      <w:pPr>
        <w:pStyle w:val="Titolo2"/>
      </w:pPr>
      <w:bookmarkStart w:id="10" w:name="_Toc161309096"/>
      <w:r>
        <w:t>3</w:t>
      </w:r>
      <w:r w:rsidR="001C0B28" w:rsidRPr="00B15171">
        <w:t>.2 L’intervento del Massimario della Cassazione</w:t>
      </w:r>
      <w:bookmarkEnd w:id="10"/>
    </w:p>
    <w:p w14:paraId="0CEF63BF" w14:textId="6D120092" w:rsidR="001C0B28" w:rsidRPr="00B15171" w:rsidRDefault="001C0B28" w:rsidP="00B15171">
      <w:pPr>
        <w:spacing w:after="200" w:line="360" w:lineRule="auto"/>
        <w:jc w:val="both"/>
        <w:rPr>
          <w:rFonts w:ascii="Tahoma" w:hAnsi="Tahoma" w:cs="Tahoma"/>
          <w:sz w:val="20"/>
          <w:szCs w:val="20"/>
        </w:rPr>
      </w:pPr>
      <w:r w:rsidRPr="00B15171">
        <w:rPr>
          <w:rFonts w:ascii="Tahoma" w:hAnsi="Tahoma" w:cs="Tahoma"/>
          <w:sz w:val="20"/>
          <w:szCs w:val="20"/>
        </w:rPr>
        <w:t>Nel mese di settembre 2022 l’Ufficio del Massimario e del Ruolo della Corte di Cassazione ha pubblicato la Relazione n. 87, per evidenziare le conclusioni di un primo esame della normativa appena entrata in vigore.</w:t>
      </w:r>
    </w:p>
    <w:p w14:paraId="66ACC4B1" w14:textId="387A357E" w:rsidR="001C0B28" w:rsidRPr="00B15171" w:rsidRDefault="000679D6" w:rsidP="00B15171">
      <w:pPr>
        <w:spacing w:after="200" w:line="360" w:lineRule="auto"/>
        <w:jc w:val="both"/>
        <w:rPr>
          <w:rFonts w:ascii="Tahoma" w:hAnsi="Tahoma" w:cs="Tahoma"/>
          <w:sz w:val="20"/>
          <w:szCs w:val="20"/>
        </w:rPr>
      </w:pPr>
      <w:r w:rsidRPr="00B15171">
        <w:rPr>
          <w:rFonts w:ascii="Tahoma" w:hAnsi="Tahoma" w:cs="Tahoma"/>
          <w:sz w:val="20"/>
          <w:szCs w:val="20"/>
        </w:rPr>
        <w:t>Il Massimario specifica innanzitutto come la nuova disciplina individua la crisi in via prospettica, come probabilità di una futura insolvenza.</w:t>
      </w:r>
    </w:p>
    <w:p w14:paraId="4362F857" w14:textId="271FBB0C" w:rsidR="000679D6" w:rsidRPr="00B15171" w:rsidRDefault="000679D6" w:rsidP="00B15171">
      <w:pPr>
        <w:spacing w:after="200" w:line="360" w:lineRule="auto"/>
        <w:jc w:val="both"/>
        <w:rPr>
          <w:rFonts w:ascii="Tahoma" w:hAnsi="Tahoma" w:cs="Tahoma"/>
          <w:sz w:val="20"/>
          <w:szCs w:val="20"/>
        </w:rPr>
      </w:pPr>
      <w:r w:rsidRPr="00B15171">
        <w:rPr>
          <w:rFonts w:ascii="Tahoma" w:hAnsi="Tahoma" w:cs="Tahoma"/>
          <w:sz w:val="20"/>
          <w:szCs w:val="20"/>
        </w:rPr>
        <w:t>Altra rilevante novità rispetto alla formulazione originaria del CCII è l’abbandono dell’orizzonte temporale semestrale in ordine alla valutazione prospettica della continuità, con l’adozione di un orizzonte temporale di 12 mesi, che tra l’altro ricalca anche l’orizzonte temporale previsto per la valutazione degli amministratori di cui al Principio contabile OIC 11 e per la verifica dei revisori ai sensi del combinato disposto dei Principi di revisione 560 e 570.</w:t>
      </w:r>
    </w:p>
    <w:p w14:paraId="5502B528" w14:textId="52D968BF" w:rsidR="000679D6" w:rsidRPr="00B15171" w:rsidRDefault="000679D6" w:rsidP="00B15171">
      <w:pPr>
        <w:spacing w:after="200" w:line="360" w:lineRule="auto"/>
        <w:jc w:val="both"/>
        <w:rPr>
          <w:rFonts w:ascii="Tahoma" w:hAnsi="Tahoma" w:cs="Tahoma"/>
          <w:i/>
          <w:iCs/>
          <w:sz w:val="20"/>
          <w:szCs w:val="20"/>
        </w:rPr>
      </w:pPr>
      <w:r w:rsidRPr="00B15171">
        <w:rPr>
          <w:rFonts w:ascii="Tahoma" w:hAnsi="Tahoma" w:cs="Tahoma"/>
          <w:sz w:val="20"/>
          <w:szCs w:val="20"/>
        </w:rPr>
        <w:t>Per quel che concerne gli adeguati assetti, il Massimario commenta l’obbligo introdotto per tutte le imprese, definendolo un perno centrale del sistema di rilevazione tempestiva,  “</w:t>
      </w:r>
      <w:r w:rsidRPr="00B15171">
        <w:rPr>
          <w:rFonts w:ascii="Tahoma" w:hAnsi="Tahoma" w:cs="Tahoma"/>
          <w:i/>
          <w:iCs/>
          <w:sz w:val="20"/>
          <w:szCs w:val="20"/>
        </w:rPr>
        <w:t xml:space="preserve">sul presupposto che affrontare tardivamente tale situazione, quando ormai si è verificata la perdita della continuità aziendale, rappresenta un </w:t>
      </w:r>
      <w:r w:rsidRPr="00B15171">
        <w:rPr>
          <w:rFonts w:ascii="Tahoma" w:hAnsi="Tahoma" w:cs="Tahoma"/>
          <w:i/>
          <w:iCs/>
          <w:sz w:val="20"/>
          <w:szCs w:val="20"/>
        </w:rPr>
        <w:lastRenderedPageBreak/>
        <w:t>danno per l’intero sistema economico e per gli stessi creditori, che vedono in tal modo azzerarsi il residuo valore dell’azienda, oltre che le stesse opportunità occupazionali e di fare impresa, anche a causa della perdita di credibilità sul mercato”.</w:t>
      </w:r>
    </w:p>
    <w:p w14:paraId="3F232F2D" w14:textId="2294AC77" w:rsidR="000679D6" w:rsidRPr="00B15171" w:rsidRDefault="000679D6" w:rsidP="00B15171">
      <w:pPr>
        <w:spacing w:after="200" w:line="360" w:lineRule="auto"/>
        <w:jc w:val="both"/>
        <w:rPr>
          <w:rFonts w:ascii="Tahoma" w:hAnsi="Tahoma" w:cs="Tahoma"/>
          <w:sz w:val="20"/>
          <w:szCs w:val="20"/>
        </w:rPr>
      </w:pPr>
      <w:r w:rsidRPr="00B15171">
        <w:rPr>
          <w:rFonts w:ascii="Tahoma" w:hAnsi="Tahoma" w:cs="Tahoma"/>
          <w:sz w:val="20"/>
          <w:szCs w:val="20"/>
        </w:rPr>
        <w:t>Il Massimario fa poi notare come l’altro perno del sistema di rilevazione tempestiva della crisi, è l’organo di controllo</w:t>
      </w:r>
      <w:r w:rsidR="00206AD2" w:rsidRPr="00B15171">
        <w:rPr>
          <w:rFonts w:ascii="Tahoma" w:hAnsi="Tahoma" w:cs="Tahoma"/>
          <w:sz w:val="20"/>
          <w:szCs w:val="20"/>
        </w:rPr>
        <w:t>, il cui dovere di segnalazione, su cui subito sotto, si aggiunge e rafforza il dovere delle società di predisporre adeguati assetti</w:t>
      </w:r>
      <w:r w:rsidRPr="00B15171">
        <w:rPr>
          <w:rFonts w:ascii="Tahoma" w:hAnsi="Tahoma" w:cs="Tahoma"/>
          <w:i/>
          <w:iCs/>
          <w:sz w:val="20"/>
          <w:szCs w:val="20"/>
        </w:rPr>
        <w:t xml:space="preserve"> </w:t>
      </w:r>
      <w:r w:rsidR="00206AD2" w:rsidRPr="00B15171">
        <w:rPr>
          <w:rFonts w:ascii="Tahoma" w:hAnsi="Tahoma" w:cs="Tahoma"/>
          <w:sz w:val="20"/>
          <w:szCs w:val="20"/>
        </w:rPr>
        <w:t>organizzativi, amministrativi e contabili.</w:t>
      </w:r>
    </w:p>
    <w:p w14:paraId="3CA9041C" w14:textId="63462652" w:rsidR="00206AD2" w:rsidRPr="00B15171" w:rsidRDefault="00206AD2" w:rsidP="00B15171">
      <w:pPr>
        <w:spacing w:after="200" w:line="360" w:lineRule="auto"/>
        <w:jc w:val="both"/>
        <w:rPr>
          <w:rFonts w:ascii="Tahoma" w:hAnsi="Tahoma" w:cs="Tahoma"/>
          <w:sz w:val="20"/>
          <w:szCs w:val="20"/>
        </w:rPr>
      </w:pPr>
    </w:p>
    <w:p w14:paraId="575CCD2D" w14:textId="71D35785" w:rsidR="00206AD2" w:rsidRPr="00B15171" w:rsidRDefault="00A8032F" w:rsidP="00B15171">
      <w:pPr>
        <w:pStyle w:val="Titolo2"/>
      </w:pPr>
      <w:bookmarkStart w:id="11" w:name="_Toc161309097"/>
      <w:r>
        <w:t>3</w:t>
      </w:r>
      <w:r w:rsidR="00206AD2" w:rsidRPr="00B15171">
        <w:t>.3 Il ruolo dell’organo di controllo</w:t>
      </w:r>
      <w:bookmarkEnd w:id="11"/>
    </w:p>
    <w:p w14:paraId="6AFD6D52" w14:textId="6117B423"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L’articolo 25-</w:t>
      </w:r>
      <w:r w:rsidRPr="00B15171">
        <w:rPr>
          <w:rFonts w:ascii="Tahoma" w:hAnsi="Tahoma" w:cs="Tahoma"/>
          <w:i/>
          <w:iCs/>
          <w:sz w:val="20"/>
          <w:szCs w:val="20"/>
        </w:rPr>
        <w:t xml:space="preserve">octies </w:t>
      </w:r>
      <w:r w:rsidRPr="00B15171">
        <w:rPr>
          <w:rFonts w:ascii="Tahoma" w:hAnsi="Tahoma" w:cs="Tahoma"/>
          <w:sz w:val="20"/>
          <w:szCs w:val="20"/>
        </w:rPr>
        <w:t xml:space="preserve"> del CCII regola l’intervento dell’organo di controllo.</w:t>
      </w:r>
    </w:p>
    <w:p w14:paraId="65669355" w14:textId="504283AF"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w:t>
      </w:r>
      <w:r w:rsidRPr="00B15171">
        <w:rPr>
          <w:rFonts w:ascii="Tahoma" w:hAnsi="Tahoma" w:cs="Tahoma"/>
          <w:i/>
          <w:iCs/>
          <w:sz w:val="20"/>
          <w:szCs w:val="20"/>
        </w:rPr>
        <w:t>l’organo di controllo societario segnala, per iscritto, all’organo amministrativo la sussistenza dei presupposti per la presentazione dell’istanza</w:t>
      </w:r>
      <w:r w:rsidRPr="00B15171">
        <w:rPr>
          <w:rFonts w:ascii="Tahoma" w:hAnsi="Tahoma" w:cs="Tahoma"/>
          <w:sz w:val="20"/>
          <w:szCs w:val="20"/>
        </w:rPr>
        <w:t>” di accesso alla composizione negoziata.</w:t>
      </w:r>
    </w:p>
    <w:p w14:paraId="22C2BF52" w14:textId="3CBEF573"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La segnalazione:</w:t>
      </w:r>
    </w:p>
    <w:p w14:paraId="04DB181E" w14:textId="19BFD87E" w:rsidR="00206AD2" w:rsidRPr="00B15171" w:rsidRDefault="00206AD2">
      <w:pPr>
        <w:pStyle w:val="Paragrafoelenco"/>
        <w:numPr>
          <w:ilvl w:val="0"/>
          <w:numId w:val="9"/>
        </w:numPr>
        <w:spacing w:after="200" w:line="360" w:lineRule="auto"/>
        <w:ind w:left="714" w:hanging="357"/>
        <w:jc w:val="both"/>
        <w:rPr>
          <w:rFonts w:ascii="Tahoma" w:hAnsi="Tahoma" w:cs="Tahoma"/>
          <w:i/>
          <w:iCs/>
          <w:sz w:val="20"/>
          <w:szCs w:val="20"/>
        </w:rPr>
      </w:pPr>
      <w:r w:rsidRPr="00B15171">
        <w:rPr>
          <w:rFonts w:ascii="Tahoma" w:hAnsi="Tahoma" w:cs="Tahoma"/>
          <w:sz w:val="20"/>
          <w:szCs w:val="20"/>
        </w:rPr>
        <w:t>è motivata</w:t>
      </w:r>
    </w:p>
    <w:p w14:paraId="6FE1261F" w14:textId="5961F7A9" w:rsidR="00206AD2" w:rsidRPr="00B15171" w:rsidRDefault="00206AD2">
      <w:pPr>
        <w:pStyle w:val="Paragrafoelenco"/>
        <w:numPr>
          <w:ilvl w:val="0"/>
          <w:numId w:val="9"/>
        </w:numPr>
        <w:spacing w:after="200" w:line="360" w:lineRule="auto"/>
        <w:ind w:left="714" w:hanging="357"/>
        <w:jc w:val="both"/>
        <w:rPr>
          <w:rFonts w:ascii="Tahoma" w:hAnsi="Tahoma" w:cs="Tahoma"/>
          <w:i/>
          <w:iCs/>
          <w:sz w:val="20"/>
          <w:szCs w:val="20"/>
        </w:rPr>
      </w:pPr>
      <w:r w:rsidRPr="00B15171">
        <w:rPr>
          <w:rFonts w:ascii="Tahoma" w:hAnsi="Tahoma" w:cs="Tahoma"/>
          <w:sz w:val="20"/>
          <w:szCs w:val="20"/>
        </w:rPr>
        <w:t>è trasmessa con mezzi che assicurano la prova dell’avvenuta ricezione</w:t>
      </w:r>
    </w:p>
    <w:p w14:paraId="4631D749" w14:textId="7AAD61BB" w:rsidR="00206AD2" w:rsidRPr="00312A65" w:rsidRDefault="00206AD2">
      <w:pPr>
        <w:pStyle w:val="Paragrafoelenco"/>
        <w:numPr>
          <w:ilvl w:val="0"/>
          <w:numId w:val="9"/>
        </w:numPr>
        <w:spacing w:after="200" w:line="360" w:lineRule="auto"/>
        <w:contextualSpacing w:val="0"/>
        <w:jc w:val="both"/>
        <w:rPr>
          <w:rFonts w:ascii="Tahoma" w:hAnsi="Tahoma" w:cs="Tahoma"/>
          <w:i/>
          <w:iCs/>
          <w:sz w:val="20"/>
          <w:szCs w:val="20"/>
        </w:rPr>
      </w:pPr>
      <w:r w:rsidRPr="00B15171">
        <w:rPr>
          <w:rFonts w:ascii="Tahoma" w:hAnsi="Tahoma" w:cs="Tahoma"/>
          <w:sz w:val="20"/>
          <w:szCs w:val="20"/>
        </w:rPr>
        <w:t>contiene la fissazione di un congruo termine, non superiore a 30 giorni, entro il quale l’organo amministrativo deve riferire in ordine alle iniziative intraprese</w:t>
      </w:r>
    </w:p>
    <w:p w14:paraId="4207CC16" w14:textId="5294408E" w:rsidR="00206AD2" w:rsidRPr="00B15171" w:rsidRDefault="00206AD2" w:rsidP="00B15171">
      <w:pPr>
        <w:spacing w:after="200" w:line="360" w:lineRule="auto"/>
        <w:jc w:val="both"/>
        <w:rPr>
          <w:rFonts w:ascii="Tahoma" w:hAnsi="Tahoma" w:cs="Tahoma"/>
          <w:i/>
          <w:iCs/>
          <w:sz w:val="20"/>
          <w:szCs w:val="20"/>
        </w:rPr>
      </w:pPr>
      <w:r w:rsidRPr="00B15171">
        <w:rPr>
          <w:rFonts w:ascii="Tahoma" w:hAnsi="Tahoma" w:cs="Tahoma"/>
          <w:sz w:val="20"/>
          <w:szCs w:val="20"/>
        </w:rPr>
        <w:t xml:space="preserve">- </w:t>
      </w:r>
      <w:r w:rsidRPr="00B15171">
        <w:rPr>
          <w:rFonts w:ascii="Tahoma" w:hAnsi="Tahoma" w:cs="Tahoma"/>
          <w:i/>
          <w:iCs/>
          <w:sz w:val="20"/>
          <w:szCs w:val="20"/>
        </w:rPr>
        <w:t>Motivazione della segnalazione</w:t>
      </w:r>
    </w:p>
    <w:p w14:paraId="24BA7923" w14:textId="14AC40A3"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La segnalazione non può essere priva di motivazione, basata, ad esempio, su sensazioni, sentori, analisi non comprovate da dati.</w:t>
      </w:r>
    </w:p>
    <w:p w14:paraId="2F386663" w14:textId="4518C14D" w:rsidR="00206AD2"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L'organo di controllo procede alla segnalazione perché, grazie agli adeguati assetti, ha tempestivamente a disposizione gli elementi contabili ed extracontabili che costituiscono segnali per la prevenzione della situazione di crisi.</w:t>
      </w:r>
    </w:p>
    <w:p w14:paraId="0E158F03" w14:textId="04051A95" w:rsidR="00314664" w:rsidRPr="00B15171" w:rsidRDefault="00206AD2" w:rsidP="00B15171">
      <w:pPr>
        <w:spacing w:after="200" w:line="360" w:lineRule="auto"/>
        <w:jc w:val="both"/>
        <w:rPr>
          <w:rFonts w:ascii="Tahoma" w:hAnsi="Tahoma" w:cs="Tahoma"/>
          <w:sz w:val="20"/>
          <w:szCs w:val="20"/>
        </w:rPr>
      </w:pPr>
      <w:r w:rsidRPr="00B15171">
        <w:rPr>
          <w:rFonts w:ascii="Tahoma" w:hAnsi="Tahoma" w:cs="Tahoma"/>
          <w:sz w:val="20"/>
          <w:szCs w:val="20"/>
        </w:rPr>
        <w:t xml:space="preserve">L’organo di controllo deve quindi, con cadenza </w:t>
      </w:r>
      <w:r w:rsidR="00CC6F35" w:rsidRPr="00B15171">
        <w:rPr>
          <w:rFonts w:ascii="Tahoma" w:hAnsi="Tahoma" w:cs="Tahoma"/>
          <w:sz w:val="20"/>
          <w:szCs w:val="20"/>
        </w:rPr>
        <w:t>regolare, ottenere dalla società informazion</w:t>
      </w:r>
      <w:r w:rsidR="00314664" w:rsidRPr="00B15171">
        <w:rPr>
          <w:rFonts w:ascii="Tahoma" w:hAnsi="Tahoma" w:cs="Tahoma"/>
          <w:sz w:val="20"/>
          <w:szCs w:val="20"/>
        </w:rPr>
        <w:t>i</w:t>
      </w:r>
      <w:r w:rsidR="00CC6F35" w:rsidRPr="00B15171">
        <w:rPr>
          <w:rFonts w:ascii="Tahoma" w:hAnsi="Tahoma" w:cs="Tahoma"/>
          <w:sz w:val="20"/>
          <w:szCs w:val="20"/>
        </w:rPr>
        <w:t xml:space="preserve"> in merito all’esistenza di debiti per retribuzioni scadute, di debiti verso fornitori scaduti da oltre 90 giorni</w:t>
      </w:r>
      <w:r w:rsidR="00314664" w:rsidRPr="00B15171">
        <w:rPr>
          <w:rFonts w:ascii="Tahoma" w:hAnsi="Tahoma" w:cs="Tahoma"/>
          <w:sz w:val="20"/>
          <w:szCs w:val="20"/>
        </w:rPr>
        <w:t xml:space="preserve">, </w:t>
      </w:r>
      <w:r w:rsidR="002A0C90" w:rsidRPr="00B15171">
        <w:rPr>
          <w:rFonts w:ascii="Tahoma" w:hAnsi="Tahoma" w:cs="Tahoma"/>
          <w:sz w:val="20"/>
          <w:szCs w:val="20"/>
        </w:rPr>
        <w:t>in ordine a</w:t>
      </w:r>
      <w:r w:rsidR="00314664" w:rsidRPr="00B15171">
        <w:rPr>
          <w:rFonts w:ascii="Tahoma" w:hAnsi="Tahoma" w:cs="Tahoma"/>
          <w:sz w:val="20"/>
          <w:szCs w:val="20"/>
        </w:rPr>
        <w:t xml:space="preserve">lla composizione dell’esposizione bancaria e </w:t>
      </w:r>
      <w:r w:rsidR="00A83E60" w:rsidRPr="00B15171">
        <w:rPr>
          <w:rFonts w:ascii="Tahoma" w:hAnsi="Tahoma" w:cs="Tahoma"/>
          <w:sz w:val="20"/>
          <w:szCs w:val="20"/>
        </w:rPr>
        <w:t>al</w:t>
      </w:r>
      <w:r w:rsidR="00314664" w:rsidRPr="00B15171">
        <w:rPr>
          <w:rFonts w:ascii="Tahoma" w:hAnsi="Tahoma" w:cs="Tahoma"/>
          <w:sz w:val="20"/>
          <w:szCs w:val="20"/>
        </w:rPr>
        <w:t xml:space="preserve">l’ammontare dell’esposizione complessiva, nonché </w:t>
      </w:r>
      <w:r w:rsidR="00A83E60" w:rsidRPr="00B15171">
        <w:rPr>
          <w:rFonts w:ascii="Tahoma" w:hAnsi="Tahoma" w:cs="Tahoma"/>
          <w:sz w:val="20"/>
          <w:szCs w:val="20"/>
        </w:rPr>
        <w:t>a</w:t>
      </w:r>
      <w:r w:rsidR="00314664" w:rsidRPr="00B15171">
        <w:rPr>
          <w:rFonts w:ascii="Tahoma" w:hAnsi="Tahoma" w:cs="Tahoma"/>
          <w:sz w:val="20"/>
          <w:szCs w:val="20"/>
        </w:rPr>
        <w:t>ll’ammontare dei debiti verso creditori pubblici qualificati.</w:t>
      </w:r>
    </w:p>
    <w:p w14:paraId="7C0F6E02" w14:textId="2EFDE989" w:rsidR="00314664"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314664" w:rsidRPr="00B15171">
        <w:rPr>
          <w:rFonts w:ascii="Tahoma" w:hAnsi="Tahoma" w:cs="Tahoma"/>
          <w:sz w:val="20"/>
          <w:szCs w:val="20"/>
        </w:rPr>
        <w:t xml:space="preserve"> quindi evidente che quando il collegio sindacale non è anche incaricato della revisione, deve ottenere informazioni contabili e in ambito contabile che, ordinariamente, sarebbero al di fuori dalla sfera di controllo, in quanto oggetto dell’attività del revisore.</w:t>
      </w:r>
    </w:p>
    <w:p w14:paraId="2C03226C" w14:textId="6D11FE4A" w:rsidR="00A83E60" w:rsidRPr="00B15171" w:rsidRDefault="00A83E60" w:rsidP="00B15171">
      <w:pPr>
        <w:spacing w:after="200" w:line="360" w:lineRule="auto"/>
        <w:jc w:val="both"/>
        <w:rPr>
          <w:rFonts w:ascii="Tahoma" w:hAnsi="Tahoma" w:cs="Tahoma"/>
          <w:sz w:val="20"/>
          <w:szCs w:val="20"/>
        </w:rPr>
      </w:pPr>
      <w:r w:rsidRPr="00B15171">
        <w:rPr>
          <w:rFonts w:ascii="Tahoma" w:hAnsi="Tahoma" w:cs="Tahoma"/>
          <w:sz w:val="20"/>
          <w:szCs w:val="20"/>
        </w:rPr>
        <w:t>Ciò rafforza la necessità di un continuo e proficuo scambio di informazioni tra organo di controllo e revisore.</w:t>
      </w:r>
    </w:p>
    <w:p w14:paraId="383D8D9E" w14:textId="77777777" w:rsidR="00314664" w:rsidRPr="00B15171" w:rsidRDefault="00314664" w:rsidP="00B15171">
      <w:pPr>
        <w:spacing w:after="200" w:line="360" w:lineRule="auto"/>
        <w:jc w:val="both"/>
        <w:rPr>
          <w:rFonts w:ascii="Tahoma" w:hAnsi="Tahoma" w:cs="Tahoma"/>
          <w:sz w:val="20"/>
          <w:szCs w:val="20"/>
        </w:rPr>
      </w:pPr>
      <w:r w:rsidRPr="00B15171">
        <w:rPr>
          <w:rFonts w:ascii="Tahoma" w:hAnsi="Tahoma" w:cs="Tahoma"/>
          <w:sz w:val="20"/>
          <w:szCs w:val="20"/>
        </w:rPr>
        <w:t xml:space="preserve">Il Massimario della Cassazione individua un </w:t>
      </w:r>
      <w:r w:rsidRPr="00B15171">
        <w:rPr>
          <w:rFonts w:ascii="Tahoma" w:hAnsi="Tahoma" w:cs="Tahoma"/>
          <w:b/>
          <w:bCs/>
          <w:sz w:val="20"/>
          <w:szCs w:val="20"/>
        </w:rPr>
        <w:t>dovere</w:t>
      </w:r>
      <w:r w:rsidRPr="00B15171">
        <w:rPr>
          <w:rFonts w:ascii="Tahoma" w:hAnsi="Tahoma" w:cs="Tahoma"/>
          <w:sz w:val="20"/>
          <w:szCs w:val="20"/>
        </w:rPr>
        <w:t xml:space="preserve"> di segnalazione.</w:t>
      </w:r>
    </w:p>
    <w:p w14:paraId="5F923A41" w14:textId="70C86F02" w:rsidR="00830E00" w:rsidRPr="00B15171" w:rsidRDefault="00314664"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Si legge infatti che “</w:t>
      </w:r>
      <w:r w:rsidRPr="00B15171">
        <w:rPr>
          <w:rFonts w:ascii="Tahoma" w:hAnsi="Tahoma" w:cs="Tahoma"/>
          <w:i/>
          <w:iCs/>
          <w:sz w:val="20"/>
          <w:szCs w:val="20"/>
        </w:rPr>
        <w:t>l’uso dell’indicativo è sintomatico dell’esistenza di un vero e proprio dovere di segnalazione in presenza dei presupposti di crisi che l’organo di controllo è quindi chiamato a rilevare tempestivamente</w:t>
      </w:r>
      <w:r w:rsidR="00830E00" w:rsidRPr="00B15171">
        <w:rPr>
          <w:rFonts w:ascii="Tahoma" w:hAnsi="Tahoma" w:cs="Tahoma"/>
          <w:i/>
          <w:iCs/>
          <w:sz w:val="20"/>
          <w:szCs w:val="20"/>
        </w:rPr>
        <w:t>”</w:t>
      </w:r>
      <w:r w:rsidRPr="00B15171">
        <w:rPr>
          <w:rFonts w:ascii="Tahoma" w:hAnsi="Tahoma" w:cs="Tahoma"/>
          <w:i/>
          <w:iCs/>
          <w:sz w:val="20"/>
          <w:szCs w:val="20"/>
        </w:rPr>
        <w:t xml:space="preserve">. </w:t>
      </w:r>
    </w:p>
    <w:p w14:paraId="12390EFD" w14:textId="765059E1" w:rsidR="00830E00" w:rsidRPr="00B15171" w:rsidRDefault="00830E00" w:rsidP="00B15171">
      <w:pPr>
        <w:spacing w:after="200" w:line="360" w:lineRule="auto"/>
        <w:jc w:val="both"/>
        <w:rPr>
          <w:rFonts w:ascii="Tahoma" w:hAnsi="Tahoma" w:cs="Tahoma"/>
          <w:i/>
          <w:iCs/>
          <w:sz w:val="20"/>
          <w:szCs w:val="20"/>
        </w:rPr>
      </w:pPr>
      <w:r w:rsidRPr="00B15171">
        <w:rPr>
          <w:rFonts w:ascii="Tahoma" w:hAnsi="Tahoma" w:cs="Tahoma"/>
          <w:sz w:val="20"/>
          <w:szCs w:val="20"/>
        </w:rPr>
        <w:t>Come già accennato, il Massimario sottolinea la sinergia tra dovere di segnalazione ed adeguati assetti, in quanto che “</w:t>
      </w:r>
      <w:r w:rsidRPr="00B15171">
        <w:rPr>
          <w:rFonts w:ascii="Tahoma" w:hAnsi="Tahoma" w:cs="Tahoma"/>
          <w:i/>
          <w:iCs/>
          <w:sz w:val="20"/>
          <w:szCs w:val="20"/>
        </w:rPr>
        <w:t>l’attribuzione all’organo di controllo — collegiale o singolo che sia — di un dovere di segnalazione in questa materia significa presidiare anche situazioni deficitarie, nelle quali gli adeguati assetti non siano stati costituiti o lo siano unicamente ‘sulla carta’”.</w:t>
      </w:r>
    </w:p>
    <w:p w14:paraId="4775B86B" w14:textId="537105EC"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Quindi:</w:t>
      </w:r>
    </w:p>
    <w:p w14:paraId="31FD0341" w14:textId="5272AA41" w:rsidR="00830E00" w:rsidRPr="00B15171" w:rsidRDefault="00830E00" w:rsidP="00B15171">
      <w:pPr>
        <w:spacing w:after="200" w:line="360" w:lineRule="auto"/>
        <w:jc w:val="both"/>
        <w:rPr>
          <w:rFonts w:ascii="Tahoma" w:hAnsi="Tahoma" w:cs="Tahoma"/>
          <w:sz w:val="20"/>
          <w:szCs w:val="20"/>
        </w:rPr>
      </w:pPr>
    </w:p>
    <w:p w14:paraId="13FA710F" w14:textId="1797F58F" w:rsidR="00830E00" w:rsidRPr="00B15171" w:rsidRDefault="00830E00" w:rsidP="00B15171">
      <w:pPr>
        <w:spacing w:after="200" w:line="360" w:lineRule="auto"/>
        <w:jc w:val="center"/>
        <w:rPr>
          <w:rFonts w:ascii="Tahoma" w:hAnsi="Tahoma" w:cs="Tahoma"/>
          <w:b/>
          <w:bCs/>
          <w:sz w:val="20"/>
          <w:szCs w:val="20"/>
        </w:rPr>
      </w:pPr>
      <w:r w:rsidRPr="00B15171">
        <w:rPr>
          <w:rFonts w:ascii="Tahoma" w:hAnsi="Tahoma" w:cs="Tahoma"/>
          <w:b/>
          <w:bCs/>
          <w:sz w:val="20"/>
          <w:szCs w:val="20"/>
        </w:rPr>
        <w:t xml:space="preserve">DOVERE DI SEGNALAZIONE </w:t>
      </w:r>
      <w:r w:rsidRPr="00B15171">
        <w:rPr>
          <w:rFonts w:ascii="Tahoma" w:hAnsi="Tahoma" w:cs="Tahoma"/>
          <w:b/>
          <w:bCs/>
          <w:sz w:val="20"/>
          <w:szCs w:val="20"/>
        </w:rPr>
        <w:sym w:font="Wingdings" w:char="F0DF"/>
      </w:r>
      <w:r w:rsidRPr="00B15171">
        <w:rPr>
          <w:rFonts w:ascii="Tahoma" w:hAnsi="Tahoma" w:cs="Tahoma"/>
          <w:b/>
          <w:bCs/>
          <w:sz w:val="20"/>
          <w:szCs w:val="20"/>
        </w:rPr>
        <w:t xml:space="preserve"> </w:t>
      </w:r>
      <w:r w:rsidRPr="00B15171">
        <w:rPr>
          <w:rFonts w:ascii="Tahoma" w:hAnsi="Tahoma" w:cs="Tahoma"/>
          <w:b/>
          <w:bCs/>
          <w:i/>
          <w:iCs/>
          <w:sz w:val="20"/>
          <w:szCs w:val="20"/>
        </w:rPr>
        <w:t xml:space="preserve">sinergia </w:t>
      </w:r>
      <w:r w:rsidRPr="00B15171">
        <w:rPr>
          <w:rFonts w:ascii="Tahoma" w:hAnsi="Tahoma" w:cs="Tahoma"/>
          <w:b/>
          <w:bCs/>
          <w:i/>
          <w:iCs/>
          <w:sz w:val="20"/>
          <w:szCs w:val="20"/>
        </w:rPr>
        <w:sym w:font="Wingdings" w:char="F0E0"/>
      </w:r>
      <w:r w:rsidRPr="00B15171">
        <w:rPr>
          <w:rFonts w:ascii="Tahoma" w:hAnsi="Tahoma" w:cs="Tahoma"/>
          <w:b/>
          <w:bCs/>
          <w:i/>
          <w:iCs/>
          <w:sz w:val="20"/>
          <w:szCs w:val="20"/>
        </w:rPr>
        <w:t xml:space="preserve"> </w:t>
      </w:r>
      <w:r w:rsidRPr="00B15171">
        <w:rPr>
          <w:rFonts w:ascii="Tahoma" w:hAnsi="Tahoma" w:cs="Tahoma"/>
          <w:b/>
          <w:bCs/>
          <w:sz w:val="20"/>
          <w:szCs w:val="20"/>
        </w:rPr>
        <w:t>ADEGUATI ASSETTI</w:t>
      </w:r>
    </w:p>
    <w:p w14:paraId="5EEBFA46" w14:textId="77777777" w:rsidR="00830E00" w:rsidRPr="00B15171" w:rsidRDefault="00830E00" w:rsidP="00B15171">
      <w:pPr>
        <w:spacing w:after="200" w:line="360" w:lineRule="auto"/>
        <w:jc w:val="both"/>
        <w:rPr>
          <w:rFonts w:ascii="Tahoma" w:hAnsi="Tahoma" w:cs="Tahoma"/>
          <w:i/>
          <w:iCs/>
          <w:sz w:val="20"/>
          <w:szCs w:val="20"/>
        </w:rPr>
      </w:pPr>
    </w:p>
    <w:p w14:paraId="1D031CDD" w14:textId="3C02CDD3" w:rsidR="00206AD2" w:rsidRPr="00B15171" w:rsidRDefault="00830E00" w:rsidP="00312A65">
      <w:pPr>
        <w:spacing w:after="200" w:line="360" w:lineRule="auto"/>
        <w:jc w:val="both"/>
        <w:rPr>
          <w:rFonts w:ascii="Tahoma" w:hAnsi="Tahoma" w:cs="Tahoma"/>
          <w:sz w:val="20"/>
          <w:szCs w:val="20"/>
        </w:rPr>
      </w:pPr>
      <w:r w:rsidRPr="00B15171">
        <w:rPr>
          <w:rFonts w:ascii="Tahoma" w:hAnsi="Tahoma" w:cs="Tahoma"/>
          <w:sz w:val="20"/>
          <w:szCs w:val="20"/>
        </w:rPr>
        <w:t>La motivazione è necessaria per una esigenza di assunzione di responsabilità dell’atto e per ragioni di prova e dimostrazione della specificità della stessa: la segnalazione, in pratica, trae origine da dati obiettivi e quindi non può essere generica, ma va collegata alla presenza dei segnali.</w:t>
      </w:r>
    </w:p>
    <w:p w14:paraId="0202074E" w14:textId="0394F199" w:rsidR="00830E00" w:rsidRPr="00B15171" w:rsidRDefault="00830E00" w:rsidP="00B15171">
      <w:pPr>
        <w:spacing w:after="200" w:line="360" w:lineRule="auto"/>
        <w:jc w:val="both"/>
        <w:rPr>
          <w:rFonts w:ascii="Tahoma" w:hAnsi="Tahoma" w:cs="Tahoma"/>
          <w:i/>
          <w:iCs/>
          <w:sz w:val="20"/>
          <w:szCs w:val="20"/>
        </w:rPr>
      </w:pPr>
      <w:r w:rsidRPr="00B15171">
        <w:rPr>
          <w:rFonts w:ascii="Tahoma" w:hAnsi="Tahoma" w:cs="Tahoma"/>
          <w:sz w:val="20"/>
          <w:szCs w:val="20"/>
        </w:rPr>
        <w:t xml:space="preserve">- </w:t>
      </w:r>
      <w:r w:rsidRPr="00B15171">
        <w:rPr>
          <w:rFonts w:ascii="Tahoma" w:hAnsi="Tahoma" w:cs="Tahoma"/>
          <w:i/>
          <w:iCs/>
          <w:sz w:val="20"/>
          <w:szCs w:val="20"/>
        </w:rPr>
        <w:t>Segnalazione per iscritto</w:t>
      </w:r>
    </w:p>
    <w:p w14:paraId="5F2E7FB5" w14:textId="0796530E"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La segnalazione va fatta per iscritto.</w:t>
      </w:r>
    </w:p>
    <w:p w14:paraId="2CFCE6E6" w14:textId="30397FF8"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Una segnalazione fatta per iscritto e compiutamente motivata consente all’organo amministrativo di poter rispondere in via conseguente, correlandosi ai segnali dettagliati dall’organo di controllo.</w:t>
      </w:r>
    </w:p>
    <w:p w14:paraId="73CDE408" w14:textId="529EE700" w:rsidR="00830E00" w:rsidRPr="00B15171" w:rsidRDefault="00830E00" w:rsidP="00B15171">
      <w:pPr>
        <w:spacing w:after="200" w:line="360" w:lineRule="auto"/>
        <w:jc w:val="both"/>
        <w:rPr>
          <w:rFonts w:ascii="Tahoma" w:hAnsi="Tahoma" w:cs="Tahoma"/>
          <w:sz w:val="20"/>
          <w:szCs w:val="20"/>
        </w:rPr>
      </w:pPr>
      <w:r w:rsidRPr="00B15171">
        <w:rPr>
          <w:rFonts w:ascii="Tahoma" w:hAnsi="Tahoma" w:cs="Tahoma"/>
          <w:sz w:val="20"/>
          <w:szCs w:val="20"/>
        </w:rPr>
        <w:t>Va fatta con strumenti che consentano la prova dell’avvenuta ricezione e quindi ordinariamente tramite posta elettronica certificata.</w:t>
      </w:r>
    </w:p>
    <w:p w14:paraId="58C3EDC7" w14:textId="5A24E739" w:rsidR="00E37954" w:rsidRPr="00B15171" w:rsidRDefault="00830E00" w:rsidP="00B15171">
      <w:pPr>
        <w:spacing w:after="200" w:line="360" w:lineRule="auto"/>
        <w:jc w:val="both"/>
        <w:rPr>
          <w:rFonts w:ascii="Tahoma" w:hAnsi="Tahoma" w:cs="Tahoma"/>
          <w:i/>
          <w:iCs/>
          <w:sz w:val="20"/>
          <w:szCs w:val="20"/>
        </w:rPr>
      </w:pPr>
      <w:r w:rsidRPr="00B15171">
        <w:rPr>
          <w:rFonts w:ascii="Tahoma" w:hAnsi="Tahoma" w:cs="Tahoma"/>
          <w:i/>
          <w:iCs/>
          <w:sz w:val="20"/>
          <w:szCs w:val="20"/>
        </w:rPr>
        <w:t xml:space="preserve">- </w:t>
      </w:r>
      <w:r w:rsidR="00312A65">
        <w:rPr>
          <w:rFonts w:ascii="Tahoma" w:hAnsi="Tahoma" w:cs="Tahoma"/>
          <w:i/>
          <w:iCs/>
          <w:sz w:val="20"/>
          <w:szCs w:val="20"/>
        </w:rPr>
        <w:t xml:space="preserve"> </w:t>
      </w:r>
      <w:r w:rsidRPr="00B15171">
        <w:rPr>
          <w:rFonts w:ascii="Tahoma" w:hAnsi="Tahoma" w:cs="Tahoma"/>
          <w:i/>
          <w:iCs/>
          <w:sz w:val="20"/>
          <w:szCs w:val="20"/>
        </w:rPr>
        <w:t>Fissazione di un congruo termine, non superiore a 30 giorni, entro il quale l’organo amministrativo deve riferire in ordine alle iniziative intraprese</w:t>
      </w:r>
    </w:p>
    <w:p w14:paraId="6F9CCCDA" w14:textId="7234F955" w:rsidR="00287DC5" w:rsidRPr="00B15171" w:rsidRDefault="00E37954" w:rsidP="00B15171">
      <w:pPr>
        <w:spacing w:after="200" w:line="360" w:lineRule="auto"/>
        <w:jc w:val="both"/>
        <w:rPr>
          <w:rFonts w:ascii="Tahoma" w:hAnsi="Tahoma" w:cs="Tahoma"/>
          <w:sz w:val="20"/>
          <w:szCs w:val="20"/>
        </w:rPr>
      </w:pPr>
      <w:r w:rsidRPr="00B15171">
        <w:rPr>
          <w:rFonts w:ascii="Tahoma" w:hAnsi="Tahoma" w:cs="Tahoma"/>
          <w:sz w:val="20"/>
          <w:szCs w:val="20"/>
        </w:rPr>
        <w:t>Nella segnalazione motivata, fatta per pec, l’organo di controllo deve fissare un congruo termine, non superiore a 30 giorni, entro il quale l’organo amministrativo deve riferire in merito alle iniziative intraprese in risposta ai segnali prodromici della crisi.</w:t>
      </w:r>
    </w:p>
    <w:p w14:paraId="754E312E" w14:textId="49AE22BF" w:rsidR="00E37954" w:rsidRPr="00B15171" w:rsidRDefault="00E37954" w:rsidP="00B15171">
      <w:pPr>
        <w:spacing w:after="200" w:line="360" w:lineRule="auto"/>
        <w:jc w:val="both"/>
        <w:rPr>
          <w:rFonts w:ascii="Tahoma" w:hAnsi="Tahoma" w:cs="Tahoma"/>
          <w:sz w:val="20"/>
          <w:szCs w:val="20"/>
        </w:rPr>
      </w:pPr>
      <w:r w:rsidRPr="00B15171">
        <w:rPr>
          <w:rFonts w:ascii="Tahoma" w:hAnsi="Tahoma" w:cs="Tahoma"/>
          <w:sz w:val="20"/>
          <w:szCs w:val="20"/>
        </w:rPr>
        <w:t xml:space="preserve">Il termine </w:t>
      </w:r>
      <w:r w:rsidR="002F7025" w:rsidRPr="00B15171">
        <w:rPr>
          <w:rFonts w:ascii="Tahoma" w:hAnsi="Tahoma" w:cs="Tahoma"/>
          <w:sz w:val="20"/>
          <w:szCs w:val="20"/>
        </w:rPr>
        <w:t xml:space="preserve">fissato dall’organo di controllo </w:t>
      </w:r>
      <w:r w:rsidRPr="00B15171">
        <w:rPr>
          <w:rFonts w:ascii="Tahoma" w:hAnsi="Tahoma" w:cs="Tahoma"/>
          <w:sz w:val="20"/>
          <w:szCs w:val="20"/>
        </w:rPr>
        <w:t>non è il termine ultimativo entro il quale l’organo amministrativo deve prendere provvedimenti per risolvere la situazione di squilibrio patrimoniale ed economico-finanziario</w:t>
      </w:r>
      <w:r w:rsidR="002F7025" w:rsidRPr="00B15171">
        <w:rPr>
          <w:rFonts w:ascii="Tahoma" w:hAnsi="Tahoma" w:cs="Tahoma"/>
          <w:sz w:val="20"/>
          <w:szCs w:val="20"/>
        </w:rPr>
        <w:t>.</w:t>
      </w:r>
    </w:p>
    <w:p w14:paraId="3F0755D0" w14:textId="16BE0029" w:rsidR="00D02661" w:rsidRPr="00B15171" w:rsidRDefault="002F7025" w:rsidP="00B15171">
      <w:pPr>
        <w:spacing w:after="200" w:line="360" w:lineRule="auto"/>
        <w:jc w:val="both"/>
        <w:rPr>
          <w:rFonts w:ascii="Tahoma" w:hAnsi="Tahoma" w:cs="Tahoma"/>
          <w:sz w:val="20"/>
          <w:szCs w:val="20"/>
        </w:rPr>
      </w:pPr>
      <w:r w:rsidRPr="00B15171">
        <w:rPr>
          <w:rFonts w:ascii="Tahoma" w:hAnsi="Tahoma" w:cs="Tahoma"/>
          <w:sz w:val="20"/>
          <w:szCs w:val="20"/>
        </w:rPr>
        <w:t xml:space="preserve">Entro il termine fissato, infatti, l’organo amministrativo </w:t>
      </w:r>
      <w:r w:rsidRPr="00B15171">
        <w:rPr>
          <w:rFonts w:ascii="Tahoma" w:hAnsi="Tahoma" w:cs="Tahoma"/>
          <w:sz w:val="20"/>
          <w:szCs w:val="20"/>
          <w:u w:val="single"/>
        </w:rPr>
        <w:t xml:space="preserve">deve </w:t>
      </w:r>
      <w:r w:rsidR="00D02661" w:rsidRPr="00B15171">
        <w:rPr>
          <w:rFonts w:ascii="Tahoma" w:hAnsi="Tahoma" w:cs="Tahoma"/>
          <w:sz w:val="20"/>
          <w:szCs w:val="20"/>
          <w:u w:val="single"/>
        </w:rPr>
        <w:t>riferire</w:t>
      </w:r>
      <w:r w:rsidR="00D02661" w:rsidRPr="00B15171">
        <w:rPr>
          <w:rFonts w:ascii="Tahoma" w:hAnsi="Tahoma" w:cs="Tahoma"/>
          <w:sz w:val="20"/>
          <w:szCs w:val="20"/>
        </w:rPr>
        <w:t xml:space="preserve"> su qual</w:t>
      </w:r>
      <w:r w:rsidR="004D0132">
        <w:rPr>
          <w:rFonts w:ascii="Tahoma" w:hAnsi="Tahoma" w:cs="Tahoma"/>
          <w:sz w:val="20"/>
          <w:szCs w:val="20"/>
        </w:rPr>
        <w:t>i</w:t>
      </w:r>
      <w:r w:rsidR="00D02661" w:rsidRPr="00B15171">
        <w:rPr>
          <w:rFonts w:ascii="Tahoma" w:hAnsi="Tahoma" w:cs="Tahoma"/>
          <w:sz w:val="20"/>
          <w:szCs w:val="20"/>
        </w:rPr>
        <w:t xml:space="preserve"> siano le iniziative intraprese, cioè su quale sia il percorso che intende seguire per rispondere ai segnali della crisi. </w:t>
      </w:r>
      <w:r w:rsidR="00B15171">
        <w:rPr>
          <w:rFonts w:ascii="Tahoma" w:hAnsi="Tahoma" w:cs="Tahoma"/>
          <w:sz w:val="20"/>
          <w:szCs w:val="20"/>
        </w:rPr>
        <w:t>È</w:t>
      </w:r>
      <w:r w:rsidR="00D02661" w:rsidRPr="00B15171">
        <w:rPr>
          <w:rFonts w:ascii="Tahoma" w:hAnsi="Tahoma" w:cs="Tahoma"/>
          <w:sz w:val="20"/>
          <w:szCs w:val="20"/>
        </w:rPr>
        <w:t xml:space="preserve"> infatti essenziale che l’organo amministrativo si attivi tempestivamente per la soluzione della crisi ed evidenzi la sua attività mediante una comunicazione formale all’organo di controllo. Il completamento potrebbe avvenire in tempi più lunghi: si </w:t>
      </w:r>
      <w:r w:rsidR="00D02661" w:rsidRPr="00B15171">
        <w:rPr>
          <w:rFonts w:ascii="Tahoma" w:hAnsi="Tahoma" w:cs="Tahoma"/>
          <w:sz w:val="20"/>
          <w:szCs w:val="20"/>
        </w:rPr>
        <w:lastRenderedPageBreak/>
        <w:t>immagini, ad esempio, che l’organo amministrativo risponda all’organo</w:t>
      </w:r>
      <w:r w:rsidR="00B50973">
        <w:rPr>
          <w:rFonts w:ascii="Tahoma" w:hAnsi="Tahoma" w:cs="Tahoma"/>
          <w:sz w:val="20"/>
          <w:szCs w:val="20"/>
        </w:rPr>
        <w:t xml:space="preserve"> di controllo</w:t>
      </w:r>
      <w:r w:rsidR="00D02661" w:rsidRPr="00B15171">
        <w:rPr>
          <w:rFonts w:ascii="Tahoma" w:hAnsi="Tahoma" w:cs="Tahoma"/>
          <w:sz w:val="20"/>
          <w:szCs w:val="20"/>
        </w:rPr>
        <w:t xml:space="preserve"> evidenziando di voler procedere alla presentazione di un’istanza di composizione negoziata, il che non porterà alla soluzione della crisi in 30 giorni, ma ad affrontare la crisi con uno strumento presumibilmente adatto.</w:t>
      </w:r>
    </w:p>
    <w:p w14:paraId="5A940196" w14:textId="665547E1" w:rsidR="00B5201C" w:rsidRPr="00B15171" w:rsidRDefault="00D02661" w:rsidP="00B15171">
      <w:pPr>
        <w:spacing w:after="200" w:line="360" w:lineRule="auto"/>
        <w:jc w:val="both"/>
        <w:rPr>
          <w:rFonts w:ascii="Tahoma" w:hAnsi="Tahoma" w:cs="Tahoma"/>
          <w:sz w:val="20"/>
          <w:szCs w:val="20"/>
        </w:rPr>
      </w:pPr>
      <w:r w:rsidRPr="00B15171">
        <w:rPr>
          <w:rFonts w:ascii="Tahoma" w:hAnsi="Tahoma" w:cs="Tahoma"/>
          <w:sz w:val="20"/>
          <w:szCs w:val="20"/>
        </w:rPr>
        <w:t xml:space="preserve">Occorre comunque </w:t>
      </w:r>
      <w:r w:rsidR="00B5201C" w:rsidRPr="00B15171">
        <w:rPr>
          <w:rFonts w:ascii="Tahoma" w:hAnsi="Tahoma" w:cs="Tahoma"/>
          <w:sz w:val="20"/>
          <w:szCs w:val="20"/>
        </w:rPr>
        <w:t xml:space="preserve">evidenziare come </w:t>
      </w:r>
      <w:r w:rsidRPr="00B15171">
        <w:rPr>
          <w:rFonts w:ascii="Tahoma" w:hAnsi="Tahoma" w:cs="Tahoma"/>
          <w:sz w:val="20"/>
          <w:szCs w:val="20"/>
        </w:rPr>
        <w:t>la segnalazione per iscritto e la risposta degli amministratori sono atti interni alla società e non hanno, almeno nel momento iniziale</w:t>
      </w:r>
      <w:r w:rsidR="00A83E60" w:rsidRPr="00B15171">
        <w:rPr>
          <w:rFonts w:ascii="Tahoma" w:hAnsi="Tahoma" w:cs="Tahoma"/>
          <w:sz w:val="20"/>
          <w:szCs w:val="20"/>
        </w:rPr>
        <w:t>,</w:t>
      </w:r>
      <w:r w:rsidRPr="00B15171">
        <w:rPr>
          <w:rFonts w:ascii="Tahoma" w:hAnsi="Tahoma" w:cs="Tahoma"/>
          <w:sz w:val="20"/>
          <w:szCs w:val="20"/>
        </w:rPr>
        <w:t xml:space="preserve"> una rilevanza esterna. I documenti e gli elementi analizzati dal collegio sindacale saranno riportati sul libro dei verbali del collegio sindacale, libro sociale visibile solo (in via fisiologica) agli organi sociali e al revisore</w:t>
      </w:r>
      <w:r w:rsidR="00B5201C" w:rsidRPr="00B15171">
        <w:rPr>
          <w:rFonts w:ascii="Tahoma" w:hAnsi="Tahoma" w:cs="Tahoma"/>
          <w:sz w:val="20"/>
          <w:szCs w:val="20"/>
        </w:rPr>
        <w:t>.</w:t>
      </w:r>
    </w:p>
    <w:p w14:paraId="03892C60" w14:textId="7F852981"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Q</w:t>
      </w:r>
      <w:r w:rsidR="00D02661" w:rsidRPr="00B15171">
        <w:rPr>
          <w:rFonts w:ascii="Tahoma" w:hAnsi="Tahoma" w:cs="Tahoma"/>
          <w:sz w:val="20"/>
          <w:szCs w:val="20"/>
        </w:rPr>
        <w:t xml:space="preserve">ualora gli amministratori rimanessero inerti rispetto alla segnalazione ricevuta, l’organo di controllo avrebbe comunque </w:t>
      </w:r>
      <w:r w:rsidR="00F52849" w:rsidRPr="00B15171">
        <w:rPr>
          <w:rFonts w:ascii="Tahoma" w:hAnsi="Tahoma" w:cs="Tahoma"/>
          <w:sz w:val="20"/>
          <w:szCs w:val="20"/>
        </w:rPr>
        <w:t>un’arma piuttosto rilevante a disposizione in quanto, ai sensi dell’art. 37</w:t>
      </w:r>
      <w:r w:rsidR="00DF2A4F" w:rsidRPr="00B15171">
        <w:rPr>
          <w:rFonts w:ascii="Tahoma" w:hAnsi="Tahoma" w:cs="Tahoma"/>
          <w:sz w:val="20"/>
          <w:szCs w:val="20"/>
        </w:rPr>
        <w:t xml:space="preserve">, secondo comma, CCII, </w:t>
      </w:r>
      <w:r w:rsidRPr="00B15171">
        <w:rPr>
          <w:rFonts w:ascii="Tahoma" w:hAnsi="Tahoma" w:cs="Tahoma"/>
          <w:sz w:val="20"/>
          <w:szCs w:val="20"/>
        </w:rPr>
        <w:t>potrebbe richiedere l’apertura della liquidazione giudiziale.</w:t>
      </w:r>
    </w:p>
    <w:p w14:paraId="5C881CA9" w14:textId="3510D28D"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 periodo delle trattative nell’ambito della composizione negoziata, l’organo di controllo deve </w:t>
      </w:r>
      <w:r w:rsidR="00A83E60" w:rsidRPr="00B15171">
        <w:rPr>
          <w:rFonts w:ascii="Tahoma" w:hAnsi="Tahoma" w:cs="Tahoma"/>
          <w:sz w:val="20"/>
          <w:szCs w:val="20"/>
        </w:rPr>
        <w:t xml:space="preserve">inoltre e in ogni caso </w:t>
      </w:r>
      <w:r w:rsidRPr="00B15171">
        <w:rPr>
          <w:rFonts w:ascii="Tahoma" w:hAnsi="Tahoma" w:cs="Tahoma"/>
          <w:sz w:val="20"/>
          <w:szCs w:val="20"/>
        </w:rPr>
        <w:t>continuare a vigilare sull’osservanza della legge e dello statuto, ai sensi dell’art. 2403 c.c..</w:t>
      </w:r>
    </w:p>
    <w:p w14:paraId="3EA693CE" w14:textId="3013C2CF" w:rsidR="00B5201C" w:rsidRPr="00B15171" w:rsidRDefault="00B5201C" w:rsidP="00B15171">
      <w:pPr>
        <w:spacing w:after="200" w:line="360" w:lineRule="auto"/>
        <w:jc w:val="both"/>
        <w:rPr>
          <w:rFonts w:ascii="Tahoma" w:hAnsi="Tahoma" w:cs="Tahoma"/>
          <w:i/>
          <w:iCs/>
          <w:sz w:val="20"/>
          <w:szCs w:val="20"/>
        </w:rPr>
      </w:pPr>
      <w:r w:rsidRPr="00B15171">
        <w:rPr>
          <w:rFonts w:ascii="Tahoma" w:hAnsi="Tahoma" w:cs="Tahoma"/>
          <w:i/>
          <w:iCs/>
          <w:sz w:val="20"/>
          <w:szCs w:val="20"/>
        </w:rPr>
        <w:t>- La responsabilità dell’organo di controllo</w:t>
      </w:r>
    </w:p>
    <w:p w14:paraId="1FFA2133" w14:textId="205B11A1"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Il secondo comma dell’art. 25-</w:t>
      </w:r>
      <w:r w:rsidRPr="00B15171">
        <w:rPr>
          <w:rFonts w:ascii="Tahoma" w:hAnsi="Tahoma" w:cs="Tahoma"/>
          <w:i/>
          <w:iCs/>
          <w:sz w:val="20"/>
          <w:szCs w:val="20"/>
        </w:rPr>
        <w:t>octies</w:t>
      </w:r>
      <w:r w:rsidRPr="00B15171">
        <w:rPr>
          <w:rFonts w:ascii="Tahoma" w:hAnsi="Tahoma" w:cs="Tahoma"/>
          <w:sz w:val="20"/>
          <w:szCs w:val="20"/>
        </w:rPr>
        <w:t xml:space="preserve"> </w:t>
      </w:r>
      <w:r w:rsidR="004D0132">
        <w:rPr>
          <w:rFonts w:ascii="Tahoma" w:hAnsi="Tahoma" w:cs="Tahoma"/>
          <w:sz w:val="20"/>
          <w:szCs w:val="20"/>
        </w:rPr>
        <w:t xml:space="preserve">CCII </w:t>
      </w:r>
      <w:r w:rsidRPr="00B15171">
        <w:rPr>
          <w:rFonts w:ascii="Tahoma" w:hAnsi="Tahoma" w:cs="Tahoma"/>
          <w:sz w:val="20"/>
          <w:szCs w:val="20"/>
        </w:rPr>
        <w:t>cambia in maniera esiziale le circostanze concernenti la responsabilità dell’organo di controllo.</w:t>
      </w:r>
    </w:p>
    <w:p w14:paraId="0F727D59" w14:textId="12D36EFA" w:rsidR="00B5201C" w:rsidRPr="00B15171" w:rsidRDefault="00B5201C" w:rsidP="00B15171">
      <w:pPr>
        <w:spacing w:after="200" w:line="360" w:lineRule="auto"/>
        <w:jc w:val="both"/>
        <w:rPr>
          <w:rFonts w:ascii="Tahoma" w:hAnsi="Tahoma" w:cs="Tahoma"/>
          <w:sz w:val="20"/>
          <w:szCs w:val="20"/>
        </w:rPr>
      </w:pPr>
      <w:r w:rsidRPr="00B15171">
        <w:rPr>
          <w:rFonts w:ascii="Tahoma" w:hAnsi="Tahoma" w:cs="Tahoma"/>
          <w:sz w:val="20"/>
          <w:szCs w:val="20"/>
        </w:rPr>
        <w:t xml:space="preserve">Nella versione originaria del CCII, infatti, la segnalazione tempestiva della crisi da parte dell’organo di controllo </w:t>
      </w:r>
      <w:r w:rsidR="00214D85">
        <w:rPr>
          <w:rFonts w:ascii="Tahoma" w:hAnsi="Tahoma" w:cs="Tahoma"/>
          <w:sz w:val="20"/>
          <w:szCs w:val="20"/>
        </w:rPr>
        <w:t>produceva</w:t>
      </w:r>
      <w:r w:rsidR="00214D85" w:rsidRPr="00B15171">
        <w:rPr>
          <w:rFonts w:ascii="Tahoma" w:hAnsi="Tahoma" w:cs="Tahoma"/>
          <w:sz w:val="20"/>
          <w:szCs w:val="20"/>
        </w:rPr>
        <w:t xml:space="preserve"> </w:t>
      </w:r>
      <w:r w:rsidR="00142FE7" w:rsidRPr="00B15171">
        <w:rPr>
          <w:rFonts w:ascii="Tahoma" w:hAnsi="Tahoma" w:cs="Tahoma"/>
          <w:sz w:val="20"/>
          <w:szCs w:val="20"/>
        </w:rPr>
        <w:t>per l’organo stesso una esimente dall’azione di responsabilità. Molti commentatori avevano quindi individuato come inevitabile un conflitto insanabile tra l’organo di controllo che, con finalità autoprotettive, avrebbe segnalato qualsiasi situazione come rilevante ai fini della normativa e l’organo amministrativo che avrebbe risposto smentendo l’assunzione dell’organo di controllo e respingendo la procedura di allarme.</w:t>
      </w:r>
    </w:p>
    <w:p w14:paraId="1CD65A9B" w14:textId="0180A528" w:rsidR="00142FE7" w:rsidRPr="00B15171" w:rsidRDefault="00142FE7" w:rsidP="00B15171">
      <w:pPr>
        <w:spacing w:after="200" w:line="360" w:lineRule="auto"/>
        <w:jc w:val="both"/>
        <w:rPr>
          <w:rFonts w:ascii="Tahoma" w:hAnsi="Tahoma" w:cs="Tahoma"/>
          <w:sz w:val="20"/>
          <w:szCs w:val="20"/>
        </w:rPr>
      </w:pPr>
      <w:r w:rsidRPr="00B15171">
        <w:rPr>
          <w:rFonts w:ascii="Tahoma" w:hAnsi="Tahoma" w:cs="Tahoma"/>
          <w:sz w:val="20"/>
          <w:szCs w:val="20"/>
        </w:rPr>
        <w:t>Il legislatore aveva intuito l’inevitabilità dello scontro ed aveva anche specificato come la segnalazione della situazione crisi non poteva essere considerata giusta causa per la revoca dell’organo di controllo.</w:t>
      </w:r>
    </w:p>
    <w:p w14:paraId="3F4CA0E9" w14:textId="746CDDFD" w:rsidR="00142FE7" w:rsidRPr="00B15171" w:rsidRDefault="00142FE7" w:rsidP="00B15171">
      <w:pPr>
        <w:spacing w:after="200" w:line="360" w:lineRule="auto"/>
        <w:jc w:val="both"/>
        <w:rPr>
          <w:rFonts w:ascii="Tahoma" w:hAnsi="Tahoma" w:cs="Tahoma"/>
          <w:sz w:val="20"/>
          <w:szCs w:val="20"/>
        </w:rPr>
      </w:pPr>
      <w:r w:rsidRPr="00B15171">
        <w:rPr>
          <w:rFonts w:ascii="Tahoma" w:hAnsi="Tahoma" w:cs="Tahoma"/>
          <w:sz w:val="20"/>
          <w:szCs w:val="20"/>
        </w:rPr>
        <w:t>La nuova disciplina invece si limita a</w:t>
      </w:r>
      <w:r w:rsidR="00912EDB" w:rsidRPr="00B15171">
        <w:rPr>
          <w:rFonts w:ascii="Tahoma" w:hAnsi="Tahoma" w:cs="Tahoma"/>
          <w:sz w:val="20"/>
          <w:szCs w:val="20"/>
        </w:rPr>
        <w:t xml:space="preserve"> specificare come </w:t>
      </w:r>
      <w:r w:rsidR="00912EDB" w:rsidRPr="00B15171">
        <w:rPr>
          <w:rFonts w:ascii="Tahoma" w:hAnsi="Tahoma" w:cs="Tahoma"/>
          <w:b/>
          <w:bCs/>
          <w:sz w:val="20"/>
          <w:szCs w:val="20"/>
        </w:rPr>
        <w:t>la tempestiva segnalazione da parte dell’organo di controllo formerà oggetto di valutazione ai fini della responsabilità</w:t>
      </w:r>
      <w:r w:rsidR="00912EDB" w:rsidRPr="00B15171">
        <w:rPr>
          <w:rFonts w:ascii="Tahoma" w:hAnsi="Tahoma" w:cs="Tahoma"/>
          <w:sz w:val="20"/>
          <w:szCs w:val="20"/>
        </w:rPr>
        <w:t xml:space="preserve"> prevista dall’art. 2407 c.c..</w:t>
      </w:r>
    </w:p>
    <w:p w14:paraId="7DA5BF66" w14:textId="57C5FE0A" w:rsidR="00B5201C" w:rsidRPr="00B15171"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t>Non si tratta più quindi di una esimente automatica, ma di un elemento che formerà, insieme agli altri, oggetto della valutazione dell’autorità giudiziaria nell’ambito del giudizio di responsabilità.</w:t>
      </w:r>
    </w:p>
    <w:p w14:paraId="6F5CF489" w14:textId="37290A9E" w:rsidR="00B5201C" w:rsidRPr="00B15171" w:rsidRDefault="00912EDB" w:rsidP="00B15171">
      <w:pPr>
        <w:spacing w:after="200" w:line="360" w:lineRule="auto"/>
        <w:jc w:val="both"/>
        <w:rPr>
          <w:rFonts w:ascii="Tahoma" w:hAnsi="Tahoma" w:cs="Tahoma"/>
          <w:i/>
          <w:iCs/>
          <w:sz w:val="20"/>
          <w:szCs w:val="20"/>
        </w:rPr>
      </w:pPr>
      <w:r w:rsidRPr="00B15171">
        <w:rPr>
          <w:rFonts w:ascii="Tahoma" w:hAnsi="Tahoma" w:cs="Tahoma"/>
          <w:sz w:val="20"/>
          <w:szCs w:val="20"/>
        </w:rPr>
        <w:t>Il Massimario evidenzia che “</w:t>
      </w:r>
      <w:r w:rsidRPr="00B15171">
        <w:rPr>
          <w:rFonts w:ascii="Tahoma" w:hAnsi="Tahoma" w:cs="Tahoma"/>
          <w:i/>
          <w:iCs/>
          <w:sz w:val="20"/>
          <w:szCs w:val="20"/>
        </w:rPr>
        <w:t>u</w:t>
      </w:r>
      <w:r w:rsidR="00B5201C" w:rsidRPr="00B15171">
        <w:rPr>
          <w:rFonts w:ascii="Tahoma" w:hAnsi="Tahoma" w:cs="Tahoma"/>
          <w:i/>
          <w:iCs/>
          <w:sz w:val="20"/>
          <w:szCs w:val="20"/>
        </w:rPr>
        <w:t xml:space="preserve">na segnalazione tardiva — fatta dai sindaci in un momento in cui il capitale è già stato perduto e la continuità compromessa, pur rappresentando comunque un dovere per l’organo di controllo, non possa avere degli effetti </w:t>
      </w:r>
      <w:r w:rsidRPr="00B15171">
        <w:rPr>
          <w:rFonts w:ascii="Tahoma" w:hAnsi="Tahoma" w:cs="Tahoma"/>
          <w:i/>
          <w:iCs/>
          <w:sz w:val="20"/>
          <w:szCs w:val="20"/>
        </w:rPr>
        <w:t>‘</w:t>
      </w:r>
      <w:r w:rsidR="00B5201C" w:rsidRPr="00B15171">
        <w:rPr>
          <w:rFonts w:ascii="Tahoma" w:hAnsi="Tahoma" w:cs="Tahoma"/>
          <w:i/>
          <w:iCs/>
          <w:sz w:val="20"/>
          <w:szCs w:val="20"/>
        </w:rPr>
        <w:t>deresponsabilizzanti</w:t>
      </w:r>
      <w:r w:rsidRPr="00B15171">
        <w:rPr>
          <w:rFonts w:ascii="Tahoma" w:hAnsi="Tahoma" w:cs="Tahoma"/>
          <w:i/>
          <w:iCs/>
          <w:sz w:val="20"/>
          <w:szCs w:val="20"/>
        </w:rPr>
        <w:t>’</w:t>
      </w:r>
      <w:r w:rsidR="00B5201C" w:rsidRPr="00B15171">
        <w:rPr>
          <w:rFonts w:ascii="Tahoma" w:hAnsi="Tahoma" w:cs="Tahoma"/>
          <w:i/>
          <w:iCs/>
          <w:sz w:val="20"/>
          <w:szCs w:val="20"/>
        </w:rPr>
        <w:t xml:space="preserve">. </w:t>
      </w:r>
    </w:p>
    <w:p w14:paraId="5A730C36" w14:textId="6862C45B" w:rsidR="00B5201C" w:rsidRPr="00B15171" w:rsidRDefault="00B5201C" w:rsidP="00B15171">
      <w:pPr>
        <w:spacing w:after="200" w:line="360" w:lineRule="auto"/>
        <w:jc w:val="both"/>
        <w:rPr>
          <w:rFonts w:ascii="Tahoma" w:hAnsi="Tahoma" w:cs="Tahoma"/>
          <w:i/>
          <w:iCs/>
          <w:sz w:val="20"/>
          <w:szCs w:val="20"/>
        </w:rPr>
      </w:pPr>
      <w:r w:rsidRPr="00B15171">
        <w:rPr>
          <w:rFonts w:ascii="Tahoma" w:hAnsi="Tahoma" w:cs="Tahoma"/>
          <w:i/>
          <w:iCs/>
          <w:sz w:val="20"/>
          <w:szCs w:val="20"/>
          <w:u w:val="single"/>
        </w:rPr>
        <w:t>La valutazione si incentrerà anche sul ruolo del nesso causale relativo, verificandosi cioè se la segnalazione abbia in qualche modo eliso il collegamento eziologico fra i pregiudizi che si siano verificati successivamente — per la società o i creditori — rispetto all’operato dei sindaci</w:t>
      </w:r>
      <w:r w:rsidRPr="00B15171">
        <w:rPr>
          <w:rFonts w:ascii="Tahoma" w:hAnsi="Tahoma" w:cs="Tahoma"/>
          <w:i/>
          <w:iCs/>
          <w:sz w:val="20"/>
          <w:szCs w:val="20"/>
        </w:rPr>
        <w:t>.</w:t>
      </w:r>
      <w:r w:rsidR="00912EDB" w:rsidRPr="00B15171">
        <w:rPr>
          <w:rFonts w:ascii="Tahoma" w:hAnsi="Tahoma" w:cs="Tahoma"/>
          <w:i/>
          <w:iCs/>
          <w:sz w:val="20"/>
          <w:szCs w:val="20"/>
        </w:rPr>
        <w:t>”</w:t>
      </w:r>
      <w:r w:rsidRPr="00B15171">
        <w:rPr>
          <w:rFonts w:ascii="Tahoma" w:hAnsi="Tahoma" w:cs="Tahoma"/>
          <w:i/>
          <w:iCs/>
          <w:sz w:val="20"/>
          <w:szCs w:val="20"/>
        </w:rPr>
        <w:t xml:space="preserve"> </w:t>
      </w:r>
    </w:p>
    <w:p w14:paraId="26DE25D7" w14:textId="7DAB974B" w:rsidR="00912EDB" w:rsidRPr="00B15171"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Un’ultima considerazione inerisce il soggetto che ha il dovere di segnalazione. </w:t>
      </w:r>
    </w:p>
    <w:p w14:paraId="50B633C5" w14:textId="32963FC3" w:rsidR="00912EDB" w:rsidRPr="00B15171"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t>Il CCII parla letteralmente di “</w:t>
      </w:r>
      <w:r w:rsidRPr="00B15171">
        <w:rPr>
          <w:rFonts w:ascii="Tahoma" w:hAnsi="Tahoma" w:cs="Tahoma"/>
          <w:i/>
          <w:iCs/>
          <w:sz w:val="20"/>
          <w:szCs w:val="20"/>
        </w:rPr>
        <w:t>organi di controllo societario”</w:t>
      </w:r>
      <w:r w:rsidRPr="00B15171">
        <w:rPr>
          <w:rFonts w:ascii="Tahoma" w:hAnsi="Tahoma" w:cs="Tahoma"/>
          <w:sz w:val="20"/>
          <w:szCs w:val="20"/>
        </w:rPr>
        <w:t xml:space="preserve"> e ciò fa propendere per la conclusione che i soggetti obbligati siano il collegio sindacale e il sindaco unico, mentre il revisore unico, qualora nominato in assenza di collegio sindacale, non dovrebbe rivestire la funzione di organo di controllo e quindi non è obbligato ad eseguire la segnalazione.</w:t>
      </w:r>
    </w:p>
    <w:p w14:paraId="4F248B98" w14:textId="65B4E930" w:rsidR="00912EDB" w:rsidRDefault="00912EDB" w:rsidP="00B15171">
      <w:pPr>
        <w:spacing w:after="200" w:line="360" w:lineRule="auto"/>
        <w:jc w:val="both"/>
        <w:rPr>
          <w:rFonts w:ascii="Tahoma" w:hAnsi="Tahoma" w:cs="Tahoma"/>
          <w:sz w:val="20"/>
          <w:szCs w:val="20"/>
        </w:rPr>
      </w:pPr>
      <w:r w:rsidRPr="00B15171">
        <w:rPr>
          <w:rFonts w:ascii="Tahoma" w:hAnsi="Tahoma" w:cs="Tahoma"/>
          <w:sz w:val="20"/>
          <w:szCs w:val="20"/>
        </w:rPr>
        <w:t>Riportiamo ora un esempio di comunicazione della segnalazione da parte del collegio sindacale:</w:t>
      </w:r>
    </w:p>
    <w:tbl>
      <w:tblPr>
        <w:tblStyle w:val="Grigliatabella"/>
        <w:tblW w:w="0" w:type="auto"/>
        <w:tblLook w:val="04A0" w:firstRow="1" w:lastRow="0" w:firstColumn="1" w:lastColumn="0" w:noHBand="0" w:noVBand="1"/>
      </w:tblPr>
      <w:tblGrid>
        <w:gridCol w:w="9628"/>
      </w:tblGrid>
      <w:tr w:rsidR="00AC4992" w14:paraId="74065E5C" w14:textId="77777777" w:rsidTr="00AC4992">
        <w:tc>
          <w:tcPr>
            <w:tcW w:w="9628" w:type="dxa"/>
          </w:tcPr>
          <w:p w14:paraId="30BE9F8A"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Da: prescollsind@pec.it</w:t>
            </w:r>
          </w:p>
          <w:p w14:paraId="1BFB45A8"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 xml:space="preserve">A: societa@pec.it  </w:t>
            </w:r>
          </w:p>
          <w:p w14:paraId="11ABED50"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Cc: componente1cs@pec.it ; componente2cs@pec.it</w:t>
            </w:r>
          </w:p>
          <w:p w14:paraId="0BBBE125"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 3 giugno 2024</w:t>
            </w:r>
          </w:p>
          <w:p w14:paraId="41B8FC11"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Oggetto: Segnalazione ai sensi dell’art. 25-octies CCII</w:t>
            </w:r>
          </w:p>
          <w:p w14:paraId="70AAF7C8"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Alla cortese attenzione del consiglio di amministrazione</w:t>
            </w:r>
          </w:p>
          <w:p w14:paraId="69F0AB2A"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Il sottoscritto, anche in nome e per conto del collegio sindacale, segnala come sia pervenuta in data odierna la segnalazione dell’Agenzia delle Entrate per il mancato versamento dell’Iva del mese di gennaio per Euro 25.000,00; inoltre, anche grazie alla collaborazione dell’ufficio contabilità della società, è stato possibile constatare come i debiti per retribuzioni del mese di aprile e di maggio non siano stati ancora onorati e quindi si configura la fattispecie di cui alla lettera a) del comma 4 dell’art. 3 CCII.</w:t>
            </w:r>
          </w:p>
          <w:p w14:paraId="50E35FAB"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Sono pertanto sussistenti segnali per la previsione della crisi dell’impresa.</w:t>
            </w:r>
          </w:p>
          <w:p w14:paraId="3DDA152A"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Con la presente, anche in nome e per conto del collegio, lo scrivente concede termine fino al 30 giugno 2024 a codesto consiglio di amministrazione per riferire in ordine alle iniziative intraprese per il superamento della situazione.</w:t>
            </w:r>
          </w:p>
          <w:p w14:paraId="245F387A" w14:textId="726AB144" w:rsid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Il collegio rammenta che qualora l’organo amministrativo restasse inattivo, potrebbe essere necessario, qualora ne siano verificate le circostanze, assumere l’iniziativa di cui all’art. 37, comma 2, CCII.</w:t>
            </w:r>
          </w:p>
        </w:tc>
      </w:tr>
    </w:tbl>
    <w:p w14:paraId="5D31C8C6" w14:textId="77777777" w:rsidR="00AC4992" w:rsidRPr="00B15171" w:rsidRDefault="00AC4992" w:rsidP="00B15171">
      <w:pPr>
        <w:spacing w:after="200" w:line="360" w:lineRule="auto"/>
        <w:jc w:val="both"/>
        <w:rPr>
          <w:rFonts w:ascii="Tahoma" w:hAnsi="Tahoma" w:cs="Tahoma"/>
          <w:sz w:val="20"/>
          <w:szCs w:val="20"/>
        </w:rPr>
      </w:pPr>
    </w:p>
    <w:p w14:paraId="451086AC" w14:textId="77777777" w:rsidR="00312A65" w:rsidRDefault="00312A65">
      <w:pPr>
        <w:spacing w:after="160" w:line="259" w:lineRule="auto"/>
        <w:rPr>
          <w:rFonts w:ascii="Tahoma" w:hAnsi="Tahoma" w:cs="Tahoma"/>
          <w:sz w:val="20"/>
          <w:szCs w:val="20"/>
        </w:rPr>
      </w:pPr>
      <w:r>
        <w:rPr>
          <w:rFonts w:ascii="Tahoma" w:hAnsi="Tahoma" w:cs="Tahoma"/>
          <w:sz w:val="20"/>
          <w:szCs w:val="20"/>
        </w:rPr>
        <w:br w:type="page"/>
      </w:r>
    </w:p>
    <w:p w14:paraId="26AD7F75" w14:textId="616A461C" w:rsidR="00B03271" w:rsidRDefault="00B03271"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Una risposta da parte della società potrebbe essere la presente:</w:t>
      </w:r>
    </w:p>
    <w:tbl>
      <w:tblPr>
        <w:tblStyle w:val="Grigliatabella"/>
        <w:tblW w:w="0" w:type="auto"/>
        <w:tblLook w:val="04A0" w:firstRow="1" w:lastRow="0" w:firstColumn="1" w:lastColumn="0" w:noHBand="0" w:noVBand="1"/>
      </w:tblPr>
      <w:tblGrid>
        <w:gridCol w:w="9628"/>
      </w:tblGrid>
      <w:tr w:rsidR="00AC4992" w14:paraId="75BC1436" w14:textId="77777777" w:rsidTr="00AC4992">
        <w:tc>
          <w:tcPr>
            <w:tcW w:w="9628" w:type="dxa"/>
          </w:tcPr>
          <w:p w14:paraId="0294192F"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 xml:space="preserve">Da: societa@pec.it  </w:t>
            </w:r>
          </w:p>
          <w:p w14:paraId="0696E037"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A: prescollsind@pec.it</w:t>
            </w:r>
          </w:p>
          <w:p w14:paraId="6524640A"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Cc: componente1cs@pec.it ; componente2cs@pec.it</w:t>
            </w:r>
          </w:p>
          <w:p w14:paraId="401EBE19"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 30 giugno 2024</w:t>
            </w:r>
          </w:p>
          <w:p w14:paraId="766F93E7"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Oggetto: Segnalazione ai sensi dell’art. 25-octies CCII. Iniziative intraprese</w:t>
            </w:r>
          </w:p>
          <w:p w14:paraId="318A086B"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Egregio presidente,</w:t>
            </w:r>
          </w:p>
          <w:p w14:paraId="1771C252"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in relazione alla segnalazione ai sensi dell’art. 25-octies CCII, pervenuta in data 3/6/2024, si evidenzia quanto segue.</w:t>
            </w:r>
          </w:p>
          <w:p w14:paraId="02388847"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Il mancato pagamento dell’Iva del mese di gennaio, cui è seguito, per l’importo di Euro 2.500 anche quello di febbraio ed il mancato pagamento delle retribuzioni dei mesi di aprile e maggio 2024 erano dipese da una carenza di liquidità, derivante dalle difficoltà da parte del cliente XXYY di procedere al pagamento delle forniture dell’ultimo trimestre 2023.</w:t>
            </w:r>
          </w:p>
          <w:p w14:paraId="4DD0C004" w14:textId="77777777" w:rsidR="00AC4992" w:rsidRP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In data 15 giugno 2024 il cliente ha proceduto al pagamento parziale dell’importo e ciò ha comportato la possibilità di procedere al pagamento dell’Iva di gennaio e febbraio e della metà della retribuzione di aprile.</w:t>
            </w:r>
          </w:p>
          <w:p w14:paraId="505C086D" w14:textId="5C634A72" w:rsidR="00AC4992" w:rsidRDefault="00AC4992" w:rsidP="00AC4992">
            <w:pPr>
              <w:spacing w:before="60" w:after="60" w:line="326" w:lineRule="auto"/>
              <w:jc w:val="both"/>
              <w:rPr>
                <w:rFonts w:ascii="Tahoma" w:hAnsi="Tahoma" w:cs="Tahoma"/>
                <w:sz w:val="20"/>
                <w:szCs w:val="20"/>
              </w:rPr>
            </w:pPr>
            <w:r w:rsidRPr="00AC4992">
              <w:rPr>
                <w:rFonts w:ascii="Tahoma" w:hAnsi="Tahoma" w:cs="Tahoma"/>
                <w:sz w:val="20"/>
                <w:szCs w:val="20"/>
              </w:rPr>
              <w:t>In generale, però, la società ha bisogno di nuova finanza e quindi per il giorno 20 luglio 2024 è stata convocata l’assemblea per procedere ad un incremento di capitale sociale, per un importo tale da consentire di recuperare un equilibrio finanziario. Il tempo è necessario in quanto, mentre il socio A si è detto disponibile ad operare l’aumento di capitale sociale, il socio B non ha ancora espresso tale disponibilità. Qualora il socio B (portatore, come noto, dell’80% del capitale sociale) non proceda all’aumento di capitale, la società procederà all’individuazione di un professionista che possa ausiliare la società per un’istanza di composizione negoziata</w:t>
            </w:r>
          </w:p>
        </w:tc>
      </w:tr>
    </w:tbl>
    <w:p w14:paraId="65165158" w14:textId="77777777" w:rsidR="00B15171" w:rsidRDefault="00B15171" w:rsidP="00B15171">
      <w:pPr>
        <w:spacing w:after="200" w:line="360" w:lineRule="auto"/>
        <w:jc w:val="both"/>
        <w:rPr>
          <w:rFonts w:ascii="Tahoma" w:hAnsi="Tahoma" w:cs="Tahoma"/>
          <w:sz w:val="20"/>
          <w:szCs w:val="20"/>
        </w:rPr>
        <w:sectPr w:rsidR="00B15171" w:rsidSect="00CD27CA">
          <w:pgSz w:w="11906" w:h="16838" w:code="9"/>
          <w:pgMar w:top="1418" w:right="1134" w:bottom="1134" w:left="1134" w:header="709" w:footer="567" w:gutter="0"/>
          <w:cols w:space="708"/>
          <w:titlePg/>
          <w:docGrid w:linePitch="360"/>
        </w:sectPr>
      </w:pPr>
    </w:p>
    <w:bookmarkStart w:id="12" w:name="_Toc161309098"/>
    <w:p w14:paraId="746FFC8C" w14:textId="3F779632" w:rsidR="00561DB2" w:rsidRPr="00B15171" w:rsidRDefault="00AC4992" w:rsidP="00B15171">
      <w:pPr>
        <w:pStyle w:val="Titolo1"/>
      </w:pPr>
      <w:r w:rsidRPr="00B15171">
        <w:rPr>
          <w:rFonts w:cs="Tahoma"/>
          <w:b w:val="0"/>
          <w:bCs w:val="0"/>
          <w:noProof/>
        </w:rPr>
        <w:lastRenderedPageBreak/>
        <mc:AlternateContent>
          <mc:Choice Requires="wps">
            <w:drawing>
              <wp:anchor distT="4294967292" distB="4294967292" distL="114300" distR="114300" simplePos="0" relativeHeight="251676672" behindDoc="0" locked="0" layoutInCell="1" allowOverlap="1" wp14:anchorId="24BD9B0F" wp14:editId="6C18B3AA">
                <wp:simplePos x="0" y="0"/>
                <wp:positionH relativeFrom="margin">
                  <wp:posOffset>1831340</wp:posOffset>
                </wp:positionH>
                <wp:positionV relativeFrom="paragraph">
                  <wp:posOffset>276760</wp:posOffset>
                </wp:positionV>
                <wp:extent cx="2443480" cy="0"/>
                <wp:effectExtent l="19050" t="19050" r="33020" b="38100"/>
                <wp:wrapNone/>
                <wp:docPr id="14" name="Connettore 2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7ED700" id="Connettore 2 14" o:spid="_x0000_s1026" type="#_x0000_t32" style="position:absolute;margin-left:144.2pt;margin-top:21.8pt;width:192.4pt;height:0;z-index:25167667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" strokecolor="#404040" strokeweight=".53mm">
                <v:stroke joinstyle="miter" endcap="square"/>
                <w10:wrap anchorx="margin"/>
              </v:shape>
            </w:pict>
          </mc:Fallback>
        </mc:AlternateContent>
      </w:r>
      <w:r w:rsidR="00A8032F">
        <w:t>4</w:t>
      </w:r>
      <w:r w:rsidR="0077035E" w:rsidRPr="00B15171">
        <w:t>.</w:t>
      </w:r>
      <w:r w:rsidRPr="003B3176">
        <w:br/>
      </w:r>
      <w:r w:rsidR="0077035E" w:rsidRPr="00B15171">
        <w:t>L</w:t>
      </w:r>
      <w:r w:rsidR="00B15171" w:rsidRPr="00B15171">
        <w:t>a disciplina speciale degli ammortamenti</w:t>
      </w:r>
      <w:bookmarkEnd w:id="12"/>
      <w:r w:rsidR="00B15171" w:rsidRPr="00B15171">
        <w:t xml:space="preserve"> </w:t>
      </w:r>
    </w:p>
    <w:p w14:paraId="07387083" w14:textId="2ECFBB02" w:rsidR="00CF6C6A" w:rsidRDefault="00CF6C6A" w:rsidP="00B15171">
      <w:pPr>
        <w:spacing w:after="200" w:line="360" w:lineRule="auto"/>
        <w:jc w:val="both"/>
        <w:rPr>
          <w:rFonts w:ascii="Tahoma" w:hAnsi="Tahoma" w:cs="Tahoma"/>
          <w:b/>
          <w:sz w:val="20"/>
          <w:szCs w:val="20"/>
        </w:rPr>
      </w:pPr>
    </w:p>
    <w:p w14:paraId="572C4D09" w14:textId="16BF0672" w:rsidR="00B15171" w:rsidRDefault="00B15171" w:rsidP="00B15171">
      <w:pPr>
        <w:spacing w:after="200" w:line="360" w:lineRule="auto"/>
        <w:jc w:val="both"/>
        <w:rPr>
          <w:rFonts w:ascii="Tahoma" w:hAnsi="Tahoma" w:cs="Tahoma"/>
          <w:b/>
          <w:sz w:val="20"/>
          <w:szCs w:val="20"/>
        </w:rPr>
      </w:pPr>
    </w:p>
    <w:p w14:paraId="26C5C4D1" w14:textId="0C1C4E03" w:rsidR="00B15171" w:rsidRDefault="00B15171" w:rsidP="00B15171">
      <w:pPr>
        <w:spacing w:after="200" w:line="360" w:lineRule="auto"/>
        <w:jc w:val="both"/>
        <w:rPr>
          <w:rFonts w:ascii="Tahoma" w:hAnsi="Tahoma" w:cs="Tahoma"/>
          <w:b/>
          <w:sz w:val="20"/>
          <w:szCs w:val="20"/>
        </w:rPr>
      </w:pPr>
    </w:p>
    <w:p w14:paraId="34E97287" w14:textId="7ADB69AD" w:rsidR="00B15171" w:rsidRDefault="00B15171" w:rsidP="00B15171">
      <w:pPr>
        <w:spacing w:after="200" w:line="360" w:lineRule="auto"/>
        <w:jc w:val="both"/>
        <w:rPr>
          <w:rFonts w:ascii="Tahoma" w:hAnsi="Tahoma" w:cs="Tahoma"/>
          <w:b/>
          <w:sz w:val="20"/>
          <w:szCs w:val="20"/>
        </w:rPr>
      </w:pPr>
    </w:p>
    <w:p w14:paraId="4E71FA5F" w14:textId="699345F0" w:rsidR="00B15171" w:rsidRDefault="00B15171" w:rsidP="00B15171">
      <w:pPr>
        <w:spacing w:after="200" w:line="360" w:lineRule="auto"/>
        <w:jc w:val="both"/>
        <w:rPr>
          <w:rFonts w:ascii="Tahoma" w:hAnsi="Tahoma" w:cs="Tahoma"/>
          <w:b/>
          <w:sz w:val="20"/>
          <w:szCs w:val="20"/>
        </w:rPr>
      </w:pPr>
    </w:p>
    <w:p w14:paraId="3E837C81" w14:textId="77777777" w:rsidR="00B15171" w:rsidRPr="00B15171" w:rsidRDefault="00B15171" w:rsidP="00B15171">
      <w:pPr>
        <w:spacing w:after="200" w:line="360" w:lineRule="auto"/>
        <w:jc w:val="both"/>
        <w:rPr>
          <w:rFonts w:ascii="Tahoma" w:hAnsi="Tahoma" w:cs="Tahoma"/>
          <w:b/>
          <w:sz w:val="20"/>
          <w:szCs w:val="20"/>
        </w:rPr>
      </w:pPr>
    </w:p>
    <w:p w14:paraId="2918A717" w14:textId="7DC7E5AE" w:rsidR="00FF4B1A" w:rsidRPr="00B15171" w:rsidRDefault="00A8032F" w:rsidP="00B15171">
      <w:pPr>
        <w:pStyle w:val="Titolo2"/>
      </w:pPr>
      <w:bookmarkStart w:id="13" w:name="_Toc161309099"/>
      <w:r>
        <w:t>4</w:t>
      </w:r>
      <w:r w:rsidR="00FF4B1A" w:rsidRPr="00B15171">
        <w:t>.1 La facoltà di deroga</w:t>
      </w:r>
      <w:bookmarkEnd w:id="13"/>
      <w:r w:rsidR="00FF4B1A" w:rsidRPr="00B15171">
        <w:t xml:space="preserve"> </w:t>
      </w:r>
    </w:p>
    <w:p w14:paraId="31CEE5AA" w14:textId="287FE762" w:rsidR="00CF6C6A" w:rsidRPr="00B15171" w:rsidRDefault="00CF6C6A" w:rsidP="00B15171">
      <w:pPr>
        <w:spacing w:after="200" w:line="360" w:lineRule="auto"/>
        <w:jc w:val="both"/>
        <w:rPr>
          <w:rFonts w:ascii="Tahoma" w:hAnsi="Tahoma" w:cs="Tahoma"/>
          <w:sz w:val="20"/>
          <w:szCs w:val="20"/>
        </w:rPr>
      </w:pPr>
      <w:r w:rsidRPr="00B15171">
        <w:rPr>
          <w:rFonts w:ascii="Tahoma" w:hAnsi="Tahoma" w:cs="Tahoma"/>
          <w:sz w:val="20"/>
          <w:szCs w:val="20"/>
        </w:rPr>
        <w:t xml:space="preserve">La più fragorosa norma che </w:t>
      </w:r>
      <w:r w:rsidR="00677C15" w:rsidRPr="00B15171">
        <w:rPr>
          <w:rFonts w:ascii="Tahoma" w:hAnsi="Tahoma" w:cs="Tahoma"/>
          <w:sz w:val="20"/>
          <w:szCs w:val="20"/>
        </w:rPr>
        <w:t xml:space="preserve">ha </w:t>
      </w:r>
      <w:r w:rsidRPr="00B15171">
        <w:rPr>
          <w:rFonts w:ascii="Tahoma" w:hAnsi="Tahoma" w:cs="Tahoma"/>
          <w:sz w:val="20"/>
          <w:szCs w:val="20"/>
        </w:rPr>
        <w:t>riguarda</w:t>
      </w:r>
      <w:r w:rsidR="00677C15" w:rsidRPr="00B15171">
        <w:rPr>
          <w:rFonts w:ascii="Tahoma" w:hAnsi="Tahoma" w:cs="Tahoma"/>
          <w:sz w:val="20"/>
          <w:szCs w:val="20"/>
        </w:rPr>
        <w:t>to</w:t>
      </w:r>
      <w:r w:rsidRPr="00B15171">
        <w:rPr>
          <w:rFonts w:ascii="Tahoma" w:hAnsi="Tahoma" w:cs="Tahoma"/>
          <w:sz w:val="20"/>
          <w:szCs w:val="20"/>
        </w:rPr>
        <w:t xml:space="preserve"> l’anno 2020</w:t>
      </w:r>
      <w:r w:rsidR="00677C15" w:rsidRPr="00B15171">
        <w:rPr>
          <w:rFonts w:ascii="Tahoma" w:hAnsi="Tahoma" w:cs="Tahoma"/>
          <w:sz w:val="20"/>
          <w:szCs w:val="20"/>
        </w:rPr>
        <w:t xml:space="preserve"> </w:t>
      </w:r>
      <w:r w:rsidR="00A83E60" w:rsidRPr="00B15171">
        <w:rPr>
          <w:rFonts w:ascii="Tahoma" w:hAnsi="Tahoma" w:cs="Tahoma"/>
          <w:sz w:val="20"/>
          <w:szCs w:val="20"/>
        </w:rPr>
        <w:t xml:space="preserve">era stata </w:t>
      </w:r>
      <w:r w:rsidR="00AC5E5E" w:rsidRPr="00B15171">
        <w:rPr>
          <w:rFonts w:ascii="Tahoma" w:hAnsi="Tahoma" w:cs="Tahoma"/>
          <w:sz w:val="20"/>
          <w:szCs w:val="20"/>
        </w:rPr>
        <w:t xml:space="preserve">quella inerente </w:t>
      </w:r>
      <w:r w:rsidRPr="00B15171">
        <w:rPr>
          <w:rFonts w:ascii="Tahoma" w:hAnsi="Tahoma" w:cs="Tahoma"/>
          <w:sz w:val="20"/>
          <w:szCs w:val="20"/>
        </w:rPr>
        <w:t>la possibilità per le società che non adottano i principi contabili internazional</w:t>
      </w:r>
      <w:r w:rsidR="00A92EC7" w:rsidRPr="00B15171">
        <w:rPr>
          <w:rFonts w:ascii="Tahoma" w:hAnsi="Tahoma" w:cs="Tahoma"/>
          <w:sz w:val="20"/>
          <w:szCs w:val="20"/>
        </w:rPr>
        <w:t>i</w:t>
      </w:r>
      <w:r w:rsidRPr="00B15171">
        <w:rPr>
          <w:rFonts w:ascii="Tahoma" w:hAnsi="Tahoma" w:cs="Tahoma"/>
          <w:sz w:val="20"/>
          <w:szCs w:val="20"/>
        </w:rPr>
        <w:t xml:space="preserve"> di non effettuare fino al 100% dell’ammortamento delle immobilizzazioni materiali e immateriali</w:t>
      </w:r>
      <w:r w:rsidR="006E1083" w:rsidRPr="00B15171">
        <w:rPr>
          <w:rFonts w:ascii="Tahoma" w:hAnsi="Tahoma" w:cs="Tahoma"/>
          <w:sz w:val="20"/>
          <w:szCs w:val="20"/>
        </w:rPr>
        <w:t>, ai sensi dei commi da 7-</w:t>
      </w:r>
      <w:r w:rsidR="006E1083" w:rsidRPr="00B15171">
        <w:rPr>
          <w:rFonts w:ascii="Tahoma" w:hAnsi="Tahoma" w:cs="Tahoma"/>
          <w:i/>
          <w:sz w:val="20"/>
          <w:szCs w:val="20"/>
        </w:rPr>
        <w:t>bis</w:t>
      </w:r>
      <w:r w:rsidR="006E1083" w:rsidRPr="00B15171">
        <w:rPr>
          <w:rFonts w:ascii="Tahoma" w:hAnsi="Tahoma" w:cs="Tahoma"/>
          <w:sz w:val="20"/>
          <w:szCs w:val="20"/>
        </w:rPr>
        <w:t xml:space="preserve"> a 7-</w:t>
      </w:r>
      <w:r w:rsidR="006E1083" w:rsidRPr="00B15171">
        <w:rPr>
          <w:rFonts w:ascii="Tahoma" w:hAnsi="Tahoma" w:cs="Tahoma"/>
          <w:i/>
          <w:sz w:val="20"/>
          <w:szCs w:val="20"/>
        </w:rPr>
        <w:t xml:space="preserve">quinquies </w:t>
      </w:r>
      <w:r w:rsidR="006E1083" w:rsidRPr="00B15171">
        <w:rPr>
          <w:rFonts w:ascii="Tahoma" w:hAnsi="Tahoma" w:cs="Tahoma"/>
          <w:sz w:val="20"/>
          <w:szCs w:val="20"/>
        </w:rPr>
        <w:t>dell’art. 60 del DL 104/2020, convertito con modificazioni dalla L. 126/2020</w:t>
      </w:r>
      <w:r w:rsidRPr="00B15171">
        <w:rPr>
          <w:rFonts w:ascii="Tahoma" w:hAnsi="Tahoma" w:cs="Tahoma"/>
          <w:sz w:val="20"/>
          <w:szCs w:val="20"/>
        </w:rPr>
        <w:t>.</w:t>
      </w:r>
    </w:p>
    <w:p w14:paraId="694D6919" w14:textId="6BA7696A" w:rsidR="00CF6C6A" w:rsidRPr="00B15171" w:rsidRDefault="00CF6C6A" w:rsidP="00B15171">
      <w:pPr>
        <w:spacing w:after="200" w:line="360" w:lineRule="auto"/>
        <w:jc w:val="both"/>
        <w:rPr>
          <w:rFonts w:ascii="Tahoma" w:hAnsi="Tahoma" w:cs="Tahoma"/>
          <w:sz w:val="20"/>
          <w:szCs w:val="20"/>
        </w:rPr>
      </w:pPr>
      <w:r w:rsidRPr="00B15171">
        <w:rPr>
          <w:rFonts w:ascii="Tahoma" w:hAnsi="Tahoma" w:cs="Tahoma"/>
          <w:sz w:val="20"/>
          <w:szCs w:val="20"/>
        </w:rPr>
        <w:t>Si tratta</w:t>
      </w:r>
      <w:r w:rsidR="00677C15" w:rsidRPr="00B15171">
        <w:rPr>
          <w:rFonts w:ascii="Tahoma" w:hAnsi="Tahoma" w:cs="Tahoma"/>
          <w:sz w:val="20"/>
          <w:szCs w:val="20"/>
        </w:rPr>
        <w:t>va</w:t>
      </w:r>
      <w:r w:rsidRPr="00B15171">
        <w:rPr>
          <w:rFonts w:ascii="Tahoma" w:hAnsi="Tahoma" w:cs="Tahoma"/>
          <w:sz w:val="20"/>
          <w:szCs w:val="20"/>
        </w:rPr>
        <w:t xml:space="preserve"> di una chiara deroga al principio della competenza</w:t>
      </w:r>
      <w:r w:rsidR="00EE75A5" w:rsidRPr="00B15171">
        <w:rPr>
          <w:rFonts w:ascii="Tahoma" w:hAnsi="Tahoma" w:cs="Tahoma"/>
          <w:sz w:val="20"/>
          <w:szCs w:val="20"/>
        </w:rPr>
        <w:t xml:space="preserve"> </w:t>
      </w:r>
      <w:r w:rsidRPr="00B15171">
        <w:rPr>
          <w:rFonts w:ascii="Tahoma" w:hAnsi="Tahoma" w:cs="Tahoma"/>
          <w:sz w:val="20"/>
          <w:szCs w:val="20"/>
        </w:rPr>
        <w:t>che concede</w:t>
      </w:r>
      <w:r w:rsidR="00677C15" w:rsidRPr="00B15171">
        <w:rPr>
          <w:rFonts w:ascii="Tahoma" w:hAnsi="Tahoma" w:cs="Tahoma"/>
          <w:sz w:val="20"/>
          <w:szCs w:val="20"/>
        </w:rPr>
        <w:t>va</w:t>
      </w:r>
      <w:r w:rsidRPr="00B15171">
        <w:rPr>
          <w:rFonts w:ascii="Tahoma" w:hAnsi="Tahoma" w:cs="Tahoma"/>
          <w:sz w:val="20"/>
          <w:szCs w:val="20"/>
        </w:rPr>
        <w:t xml:space="preserve"> la facoltà di non eseguire ammortamenti ovvero di eseguirli in forma ridotta rispetto all’importo che sarebbe corretto in ragione delle previsioni del codice civile e dei Principi contabili OIC 24 (Immobilizzazioni immateriali) e </w:t>
      </w:r>
      <w:r w:rsidR="00320F6E" w:rsidRPr="00B15171">
        <w:rPr>
          <w:rFonts w:ascii="Tahoma" w:hAnsi="Tahoma" w:cs="Tahoma"/>
          <w:sz w:val="20"/>
          <w:szCs w:val="20"/>
        </w:rPr>
        <w:t xml:space="preserve">OIC </w:t>
      </w:r>
      <w:r w:rsidRPr="00B15171">
        <w:rPr>
          <w:rFonts w:ascii="Tahoma" w:hAnsi="Tahoma" w:cs="Tahoma"/>
          <w:sz w:val="20"/>
          <w:szCs w:val="20"/>
        </w:rPr>
        <w:t>16 (Immobilizzazioni materiali)</w:t>
      </w:r>
      <w:r w:rsidR="006E1083" w:rsidRPr="00B15171">
        <w:rPr>
          <w:rFonts w:ascii="Tahoma" w:hAnsi="Tahoma" w:cs="Tahoma"/>
          <w:sz w:val="20"/>
          <w:szCs w:val="20"/>
        </w:rPr>
        <w:t>.</w:t>
      </w:r>
    </w:p>
    <w:p w14:paraId="4FF0088D" w14:textId="51FB64F0" w:rsidR="00C34709" w:rsidRPr="00B15171" w:rsidRDefault="00C34709" w:rsidP="00B15171">
      <w:pPr>
        <w:spacing w:after="200" w:line="360" w:lineRule="auto"/>
        <w:jc w:val="both"/>
        <w:rPr>
          <w:rFonts w:ascii="Tahoma" w:hAnsi="Tahoma" w:cs="Tahoma"/>
          <w:sz w:val="20"/>
          <w:szCs w:val="20"/>
        </w:rPr>
      </w:pPr>
      <w:r w:rsidRPr="00B15171">
        <w:rPr>
          <w:rFonts w:ascii="Tahoma" w:hAnsi="Tahoma" w:cs="Tahoma"/>
          <w:sz w:val="20"/>
          <w:szCs w:val="20"/>
        </w:rPr>
        <w:t>La norma, originariamente prevista per l’anno 2020, è stata via via prorogata per gli esercizi successivi e, dopo il c.d. Decreto Milleproroghe 2023, la possibilità di sospensione per gli ammortamenti è prevista fino all’esercizio 2023.</w:t>
      </w:r>
    </w:p>
    <w:p w14:paraId="7546949E" w14:textId="278B7309" w:rsidR="00C34709" w:rsidRPr="00B15171" w:rsidRDefault="00C34709" w:rsidP="00B15171">
      <w:pPr>
        <w:spacing w:after="200" w:line="360" w:lineRule="auto"/>
        <w:jc w:val="both"/>
        <w:rPr>
          <w:rFonts w:ascii="Tahoma" w:hAnsi="Tahoma" w:cs="Tahoma"/>
          <w:sz w:val="20"/>
          <w:szCs w:val="20"/>
        </w:rPr>
      </w:pPr>
      <w:r w:rsidRPr="00B15171">
        <w:rPr>
          <w:rFonts w:ascii="Tahoma" w:hAnsi="Tahoma" w:cs="Tahoma"/>
          <w:sz w:val="20"/>
          <w:szCs w:val="20"/>
        </w:rPr>
        <w:t>Si procede quindi ad un esempio, considerando che la società, per la prima volta nell’anno 202</w:t>
      </w:r>
      <w:r w:rsidR="006E1499">
        <w:rPr>
          <w:rFonts w:ascii="Tahoma" w:hAnsi="Tahoma" w:cs="Tahoma"/>
          <w:sz w:val="20"/>
          <w:szCs w:val="20"/>
        </w:rPr>
        <w:t>3</w:t>
      </w:r>
      <w:r w:rsidRPr="00B15171">
        <w:rPr>
          <w:rFonts w:ascii="Tahoma" w:hAnsi="Tahoma" w:cs="Tahoma"/>
          <w:sz w:val="20"/>
          <w:szCs w:val="20"/>
        </w:rPr>
        <w:t>, voglia procedere alla sospensione degli ammortamenti.</w:t>
      </w:r>
    </w:p>
    <w:p w14:paraId="2FFC602D" w14:textId="345C3510" w:rsidR="00320F6E"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t xml:space="preserve">Facciamo un esempio numerico riguardante una società che abbia tra le Immobilizzazioni immateriali un importo per </w:t>
      </w:r>
      <w:r w:rsidR="00CD7279" w:rsidRPr="00B15171">
        <w:rPr>
          <w:rFonts w:ascii="Tahoma" w:hAnsi="Tahoma" w:cs="Tahoma"/>
          <w:sz w:val="20"/>
          <w:szCs w:val="20"/>
        </w:rPr>
        <w:t>Spese di sviluppo</w:t>
      </w:r>
      <w:r w:rsidRPr="00B15171">
        <w:rPr>
          <w:rFonts w:ascii="Tahoma" w:hAnsi="Tahoma" w:cs="Tahoma"/>
          <w:sz w:val="20"/>
          <w:szCs w:val="20"/>
        </w:rPr>
        <w:t>, la cui vita utile è stata individuata in 5 anni e tra le Immobilizzazioni materiali Automezzi (vita utile</w:t>
      </w:r>
      <w:r w:rsidR="0027654B" w:rsidRPr="00B15171">
        <w:rPr>
          <w:rFonts w:ascii="Tahoma" w:hAnsi="Tahoma" w:cs="Tahoma"/>
          <w:sz w:val="20"/>
          <w:szCs w:val="20"/>
        </w:rPr>
        <w:t xml:space="preserve"> di 4 anni senza </w:t>
      </w:r>
      <w:r w:rsidRPr="00B15171">
        <w:rPr>
          <w:rFonts w:ascii="Tahoma" w:hAnsi="Tahoma" w:cs="Tahoma"/>
          <w:sz w:val="20"/>
          <w:szCs w:val="20"/>
        </w:rPr>
        <w:t xml:space="preserve">aliquota dimezzata nel primo esercizio) e Macchine d’Ufficio elettroniche (vita utile </w:t>
      </w:r>
      <w:r w:rsidR="0027654B" w:rsidRPr="00B15171">
        <w:rPr>
          <w:rFonts w:ascii="Tahoma" w:hAnsi="Tahoma" w:cs="Tahoma"/>
          <w:sz w:val="20"/>
          <w:szCs w:val="20"/>
        </w:rPr>
        <w:t xml:space="preserve">di 5 anni senza </w:t>
      </w:r>
      <w:r w:rsidRPr="00B15171">
        <w:rPr>
          <w:rFonts w:ascii="Tahoma" w:hAnsi="Tahoma" w:cs="Tahoma"/>
          <w:sz w:val="20"/>
          <w:szCs w:val="20"/>
        </w:rPr>
        <w:t>aliquota dimezzata nel primo esercizio).</w:t>
      </w:r>
    </w:p>
    <w:p w14:paraId="20298BF8" w14:textId="77777777" w:rsidR="000A5632" w:rsidRDefault="000A5632">
      <w:pPr>
        <w:spacing w:after="160" w:line="259" w:lineRule="auto"/>
        <w:rPr>
          <w:rFonts w:ascii="Tahoma" w:hAnsi="Tahoma" w:cs="Tahoma"/>
          <w:sz w:val="20"/>
          <w:szCs w:val="20"/>
        </w:rPr>
      </w:pPr>
      <w:r>
        <w:rPr>
          <w:rFonts w:ascii="Tahoma" w:hAnsi="Tahoma" w:cs="Tahoma"/>
          <w:sz w:val="20"/>
          <w:szCs w:val="20"/>
        </w:rPr>
        <w:br w:type="page"/>
      </w:r>
    </w:p>
    <w:p w14:paraId="75E427FC" w14:textId="5561362D" w:rsidR="006E1083"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Per esemplificare consideriamo che tutti le immobilizzazioni siano state acquistate nel 20</w:t>
      </w:r>
      <w:r w:rsidR="006E1499">
        <w:rPr>
          <w:rFonts w:ascii="Tahoma" w:hAnsi="Tahoma" w:cs="Tahoma"/>
          <w:sz w:val="20"/>
          <w:szCs w:val="20"/>
        </w:rPr>
        <w:t>20</w:t>
      </w:r>
      <w:r w:rsidRPr="00B15171">
        <w:rPr>
          <w:rFonts w:ascii="Tahoma" w:hAnsi="Tahoma" w:cs="Tahoma"/>
          <w:sz w:val="20"/>
          <w:szCs w:val="20"/>
        </w:rPr>
        <w:t>.</w:t>
      </w:r>
    </w:p>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27654B" w:rsidRPr="00B15171" w14:paraId="76E7D7D1"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ED281" w14:textId="77777777" w:rsidR="0027654B" w:rsidRPr="00B15171" w:rsidRDefault="0027654B"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3E6C1E" w14:textId="77777777" w:rsidR="0027654B" w:rsidRPr="00B15171" w:rsidRDefault="0027654B"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4C678CA" w14:textId="710DAB74"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w:t>
            </w:r>
            <w:r w:rsidR="006E1499">
              <w:rPr>
                <w:rFonts w:ascii="Tahoma" w:hAnsi="Tahoma" w:cs="Tahoma"/>
                <w:i/>
                <w:iCs/>
                <w:color w:val="000000"/>
                <w:sz w:val="20"/>
                <w:szCs w:val="20"/>
              </w:rPr>
              <w:t>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D14B893" w14:textId="3477714F"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w:t>
            </w:r>
            <w:r w:rsidR="00C34709" w:rsidRPr="00B15171">
              <w:rPr>
                <w:rFonts w:ascii="Tahoma" w:hAnsi="Tahoma" w:cs="Tahoma"/>
                <w:i/>
                <w:iCs/>
                <w:color w:val="000000"/>
                <w:sz w:val="20"/>
                <w:szCs w:val="20"/>
              </w:rPr>
              <w:t>202</w:t>
            </w:r>
            <w:r w:rsidR="006E1499">
              <w:rPr>
                <w:rFonts w:ascii="Tahoma" w:hAnsi="Tahoma" w:cs="Tahoma"/>
                <w:i/>
                <w:iCs/>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EF9950C" w14:textId="6542BA64"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w:t>
            </w:r>
            <w:r w:rsidR="00C34709" w:rsidRPr="00B15171">
              <w:rPr>
                <w:rFonts w:ascii="Tahoma" w:hAnsi="Tahoma" w:cs="Tahoma"/>
                <w:i/>
                <w:iCs/>
                <w:color w:val="000000"/>
                <w:sz w:val="20"/>
                <w:szCs w:val="20"/>
              </w:rPr>
              <w:t>202</w:t>
            </w:r>
            <w:r w:rsidR="006E1499">
              <w:rPr>
                <w:rFonts w:ascii="Tahoma" w:hAnsi="Tahoma" w:cs="Tahoma"/>
                <w:i/>
                <w:iCs/>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D7EFA8" w14:textId="4BF56E3C"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6E1499">
              <w:rPr>
                <w:rFonts w:ascii="Tahoma" w:hAnsi="Tahoma" w:cs="Tahoma"/>
                <w:i/>
                <w:iCs/>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11FB70" w14:textId="2192E0D2" w:rsidR="0027654B" w:rsidRPr="00B15171" w:rsidRDefault="0027654B"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6E1499">
              <w:rPr>
                <w:rFonts w:ascii="Tahoma" w:hAnsi="Tahoma" w:cs="Tahoma"/>
                <w:i/>
                <w:iCs/>
                <w:color w:val="000000"/>
                <w:sz w:val="20"/>
                <w:szCs w:val="20"/>
              </w:rPr>
              <w:t>4</w:t>
            </w:r>
          </w:p>
        </w:tc>
      </w:tr>
    </w:tbl>
    <w:p w14:paraId="7E4AAD5B" w14:textId="77777777" w:rsidR="00F7239E" w:rsidRDefault="00F7239E"/>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27654B" w:rsidRPr="00B15171" w14:paraId="6E0FDD68" w14:textId="77777777" w:rsidTr="00F7239E">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FC331"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7FE0A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D95DCF"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BF0AD2C"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B30406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523C44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2E94D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27654B" w:rsidRPr="00B15171" w14:paraId="22150549" w14:textId="77777777" w:rsidTr="00F7239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1ADC38F"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32342AA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65428B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35AA161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591D8F7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5E15F41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0B42F09A" w14:textId="77777777" w:rsidR="0027654B" w:rsidRPr="00B15171" w:rsidRDefault="0027654B" w:rsidP="00B15171">
            <w:pPr>
              <w:spacing w:after="200" w:line="360" w:lineRule="auto"/>
              <w:jc w:val="right"/>
              <w:rPr>
                <w:rFonts w:ascii="Tahoma" w:hAnsi="Tahoma" w:cs="Tahoma"/>
                <w:color w:val="000000"/>
                <w:sz w:val="20"/>
                <w:szCs w:val="20"/>
              </w:rPr>
            </w:pPr>
          </w:p>
        </w:tc>
      </w:tr>
      <w:tr w:rsidR="0027654B" w:rsidRPr="00B15171" w14:paraId="484C6750" w14:textId="77777777" w:rsidTr="00F7239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B7883FC"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796C127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420C663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0BA653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9C98D8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448384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61A3143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bl>
    <w:p w14:paraId="11E980C2" w14:textId="77777777" w:rsidR="00F7239E" w:rsidRDefault="00F7239E"/>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27654B" w:rsidRPr="00B15171" w14:paraId="2C609F3F" w14:textId="77777777" w:rsidTr="00F7239E">
        <w:trPr>
          <w:trHeight w:val="300"/>
          <w:jc w:val="center"/>
        </w:trPr>
        <w:tc>
          <w:tcPr>
            <w:tcW w:w="1840" w:type="dxa"/>
            <w:tcBorders>
              <w:top w:val="nil"/>
              <w:left w:val="nil"/>
              <w:bottom w:val="nil"/>
              <w:right w:val="nil"/>
            </w:tcBorders>
            <w:shd w:val="clear" w:color="auto" w:fill="auto"/>
            <w:noWrap/>
            <w:vAlign w:val="center"/>
            <w:hideMark/>
          </w:tcPr>
          <w:p w14:paraId="4864BD52"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5BBFD219" w14:textId="77777777" w:rsidR="0027654B" w:rsidRPr="00B15171" w:rsidRDefault="0027654B"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BE4B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CB2464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3FE18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3BC8F14"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C9B63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0BC8D4EC" w14:textId="77777777" w:rsidR="006E1083" w:rsidRPr="00B15171" w:rsidRDefault="006E1083" w:rsidP="00B15171">
      <w:pPr>
        <w:spacing w:after="200" w:line="360" w:lineRule="auto"/>
        <w:jc w:val="both"/>
        <w:rPr>
          <w:rFonts w:ascii="Tahoma" w:hAnsi="Tahoma" w:cs="Tahoma"/>
          <w:sz w:val="20"/>
          <w:szCs w:val="20"/>
        </w:rPr>
      </w:pPr>
    </w:p>
    <w:p w14:paraId="51C76D52" w14:textId="1AC796C8" w:rsidR="006E1083"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t>Quindi in base alla normativa</w:t>
      </w:r>
      <w:r w:rsidR="00AC5E5E" w:rsidRPr="00B15171">
        <w:rPr>
          <w:rFonts w:ascii="Tahoma" w:hAnsi="Tahoma" w:cs="Tahoma"/>
          <w:sz w:val="20"/>
          <w:szCs w:val="20"/>
        </w:rPr>
        <w:t xml:space="preserve"> derogatoria</w:t>
      </w:r>
      <w:r w:rsidRPr="00B15171">
        <w:rPr>
          <w:rFonts w:ascii="Tahoma" w:hAnsi="Tahoma" w:cs="Tahoma"/>
          <w:sz w:val="20"/>
          <w:szCs w:val="20"/>
        </w:rPr>
        <w:t xml:space="preserve">, la società </w:t>
      </w:r>
      <w:r w:rsidR="00A83E60" w:rsidRPr="00B15171">
        <w:rPr>
          <w:rFonts w:ascii="Tahoma" w:hAnsi="Tahoma" w:cs="Tahoma"/>
          <w:sz w:val="20"/>
          <w:szCs w:val="20"/>
        </w:rPr>
        <w:t>può</w:t>
      </w:r>
      <w:r w:rsidR="00677C15" w:rsidRPr="00B15171">
        <w:rPr>
          <w:rFonts w:ascii="Tahoma" w:hAnsi="Tahoma" w:cs="Tahoma"/>
          <w:sz w:val="20"/>
          <w:szCs w:val="20"/>
        </w:rPr>
        <w:t xml:space="preserve"> </w:t>
      </w:r>
      <w:r w:rsidRPr="00B15171">
        <w:rPr>
          <w:rFonts w:ascii="Tahoma" w:hAnsi="Tahoma" w:cs="Tahoma"/>
          <w:sz w:val="20"/>
          <w:szCs w:val="20"/>
        </w:rPr>
        <w:t>decidere nel 202</w:t>
      </w:r>
      <w:r w:rsidR="006E1499">
        <w:rPr>
          <w:rFonts w:ascii="Tahoma" w:hAnsi="Tahoma" w:cs="Tahoma"/>
          <w:sz w:val="20"/>
          <w:szCs w:val="20"/>
        </w:rPr>
        <w:t>3</w:t>
      </w:r>
      <w:r w:rsidRPr="00B15171">
        <w:rPr>
          <w:rFonts w:ascii="Tahoma" w:hAnsi="Tahoma" w:cs="Tahoma"/>
          <w:sz w:val="20"/>
          <w:szCs w:val="20"/>
        </w:rPr>
        <w:t xml:space="preserve"> di eseguire ammortamenti da 0 a 200 per </w:t>
      </w:r>
      <w:r w:rsidR="00CD7279" w:rsidRPr="00B15171">
        <w:rPr>
          <w:rFonts w:ascii="Tahoma" w:hAnsi="Tahoma" w:cs="Tahoma"/>
          <w:sz w:val="20"/>
          <w:szCs w:val="20"/>
        </w:rPr>
        <w:t>le Spese di sviluppo</w:t>
      </w:r>
      <w:r w:rsidRPr="00B15171">
        <w:rPr>
          <w:rFonts w:ascii="Tahoma" w:hAnsi="Tahoma" w:cs="Tahoma"/>
          <w:sz w:val="20"/>
          <w:szCs w:val="20"/>
        </w:rPr>
        <w:t>, da 0 a 50 per gli Automezzi e da 0 a 80 per le Macchine Elettroniche d’Ufficio.</w:t>
      </w:r>
    </w:p>
    <w:p w14:paraId="6AB9B9C7" w14:textId="77777777" w:rsidR="006E1083" w:rsidRPr="00B15171" w:rsidRDefault="006E1083" w:rsidP="00B15171">
      <w:pPr>
        <w:spacing w:after="200" w:line="360" w:lineRule="auto"/>
        <w:jc w:val="both"/>
        <w:rPr>
          <w:rFonts w:ascii="Tahoma" w:hAnsi="Tahoma" w:cs="Tahoma"/>
          <w:sz w:val="20"/>
          <w:szCs w:val="20"/>
        </w:rPr>
      </w:pPr>
      <w:r w:rsidRPr="00B15171">
        <w:rPr>
          <w:rFonts w:ascii="Tahoma" w:hAnsi="Tahoma" w:cs="Tahoma"/>
          <w:sz w:val="20"/>
          <w:szCs w:val="20"/>
        </w:rPr>
        <w:t>Scegliamo l’ipotesi più semplice: la società decide di avvalersi in misura totale della deroga e non esegu</w:t>
      </w:r>
      <w:r w:rsidR="0027654B" w:rsidRPr="00B15171">
        <w:rPr>
          <w:rFonts w:ascii="Tahoma" w:hAnsi="Tahoma" w:cs="Tahoma"/>
          <w:sz w:val="20"/>
          <w:szCs w:val="20"/>
        </w:rPr>
        <w:t>a</w:t>
      </w:r>
      <w:r w:rsidRPr="00B15171">
        <w:rPr>
          <w:rFonts w:ascii="Tahoma" w:hAnsi="Tahoma" w:cs="Tahoma"/>
          <w:sz w:val="20"/>
          <w:szCs w:val="20"/>
        </w:rPr>
        <w:t xml:space="preserve"> gli ammortamenti.</w:t>
      </w:r>
    </w:p>
    <w:p w14:paraId="72190312" w14:textId="0853E721" w:rsidR="006E1083" w:rsidRPr="00B15171" w:rsidRDefault="006E1083" w:rsidP="00B15171">
      <w:pPr>
        <w:spacing w:after="200" w:line="360" w:lineRule="auto"/>
        <w:jc w:val="both"/>
        <w:rPr>
          <w:rFonts w:ascii="Tahoma" w:hAnsi="Tahoma" w:cs="Tahoma"/>
          <w:bCs/>
          <w:i/>
          <w:iCs/>
          <w:sz w:val="20"/>
          <w:szCs w:val="20"/>
          <w:bdr w:val="none" w:sz="0" w:space="0" w:color="auto" w:frame="1"/>
        </w:rPr>
      </w:pPr>
      <w:r w:rsidRPr="00B15171">
        <w:rPr>
          <w:rFonts w:ascii="Tahoma" w:hAnsi="Tahoma" w:cs="Tahoma"/>
          <w:sz w:val="20"/>
          <w:szCs w:val="20"/>
        </w:rPr>
        <w:t>Il comma 7-</w:t>
      </w:r>
      <w:r w:rsidRPr="00B15171">
        <w:rPr>
          <w:rFonts w:ascii="Tahoma" w:hAnsi="Tahoma" w:cs="Tahoma"/>
          <w:i/>
          <w:sz w:val="20"/>
          <w:szCs w:val="20"/>
        </w:rPr>
        <w:t>bis</w:t>
      </w:r>
      <w:r w:rsidRPr="00B15171">
        <w:rPr>
          <w:rFonts w:ascii="Tahoma" w:hAnsi="Tahoma" w:cs="Tahoma"/>
          <w:sz w:val="20"/>
          <w:szCs w:val="20"/>
        </w:rPr>
        <w:t xml:space="preserve"> stabilisce che la società ha la facoltà di “</w:t>
      </w:r>
      <w:r w:rsidRPr="00B15171">
        <w:rPr>
          <w:rFonts w:ascii="Tahoma" w:hAnsi="Tahoma" w:cs="Tahoma"/>
          <w:bCs/>
          <w:i/>
          <w:iCs/>
          <w:sz w:val="20"/>
          <w:szCs w:val="20"/>
          <w:bdr w:val="none" w:sz="0" w:space="0" w:color="auto" w:frame="1"/>
        </w:rPr>
        <w:t xml:space="preserve">non effettuare fino al 100 per  cento   dell'ammortamento   annuo   del   costo   delle immobilizzazioni materiali e immateriali, mantenendo il  loro  valore </w:t>
      </w:r>
      <w:r w:rsidR="00BB646E" w:rsidRPr="00B15171">
        <w:rPr>
          <w:rFonts w:ascii="Tahoma" w:hAnsi="Tahoma" w:cs="Tahoma"/>
          <w:bCs/>
          <w:i/>
          <w:iCs/>
          <w:sz w:val="20"/>
          <w:szCs w:val="20"/>
          <w:bdr w:val="none" w:sz="0" w:space="0" w:color="auto" w:frame="1"/>
        </w:rPr>
        <w:t>di iscrizione, così</w:t>
      </w:r>
      <w:r w:rsidRPr="00B15171">
        <w:rPr>
          <w:rFonts w:ascii="Tahoma" w:hAnsi="Tahoma" w:cs="Tahoma"/>
          <w:bCs/>
          <w:i/>
          <w:iCs/>
          <w:sz w:val="20"/>
          <w:szCs w:val="20"/>
          <w:bdr w:val="none" w:sz="0" w:space="0" w:color="auto" w:frame="1"/>
        </w:rPr>
        <w:t xml:space="preserve"> come  risultante  dall'ultimo  bilancio  annuale regolarmente approvato. La quota di ammortament</w:t>
      </w:r>
      <w:r w:rsidR="002A7D60" w:rsidRPr="00B15171">
        <w:rPr>
          <w:rFonts w:ascii="Tahoma" w:hAnsi="Tahoma" w:cs="Tahoma"/>
          <w:bCs/>
          <w:i/>
          <w:iCs/>
          <w:sz w:val="20"/>
          <w:szCs w:val="20"/>
          <w:bdr w:val="none" w:sz="0" w:space="0" w:color="auto" w:frame="1"/>
        </w:rPr>
        <w:t>o</w:t>
      </w:r>
      <w:r w:rsidRPr="00B15171">
        <w:rPr>
          <w:rFonts w:ascii="Tahoma" w:hAnsi="Tahoma" w:cs="Tahoma"/>
          <w:bCs/>
          <w:i/>
          <w:iCs/>
          <w:sz w:val="20"/>
          <w:szCs w:val="20"/>
          <w:bdr w:val="none" w:sz="0" w:space="0" w:color="auto" w:frame="1"/>
        </w:rPr>
        <w:t xml:space="preserve"> non effettuata  ai sensi del presente comma</w:t>
      </w:r>
      <w:r w:rsidR="00BB646E" w:rsidRPr="00B15171">
        <w:rPr>
          <w:rFonts w:ascii="Tahoma" w:hAnsi="Tahoma" w:cs="Tahoma"/>
          <w:bCs/>
          <w:i/>
          <w:iCs/>
          <w:sz w:val="20"/>
          <w:szCs w:val="20"/>
          <w:bdr w:val="none" w:sz="0" w:space="0" w:color="auto" w:frame="1"/>
        </w:rPr>
        <w:t xml:space="preserve"> è</w:t>
      </w:r>
      <w:r w:rsidRPr="00B15171">
        <w:rPr>
          <w:rFonts w:ascii="Tahoma" w:hAnsi="Tahoma" w:cs="Tahoma"/>
          <w:bCs/>
          <w:i/>
          <w:iCs/>
          <w:sz w:val="20"/>
          <w:szCs w:val="20"/>
          <w:bdr w:val="none" w:sz="0" w:space="0" w:color="auto" w:frame="1"/>
        </w:rPr>
        <w:t xml:space="preserve">  imputata  al  conto  economico  relativo all'esercizio successivo e con lo stesso criterio sono  differite  le quote successive, prolungando quindi  per  tale  quota  il  piano  di ammortamento  originario  di  un  anno”.</w:t>
      </w:r>
    </w:p>
    <w:p w14:paraId="4497CC70" w14:textId="77777777" w:rsidR="006E1083" w:rsidRPr="00B15171" w:rsidRDefault="006E1083"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Quindi la legge stabilisce che la deroga si esercita, in via pratica, prolungando il piano di ammortamento originario di un anno.</w:t>
      </w:r>
    </w:p>
    <w:p w14:paraId="0855F028" w14:textId="77777777" w:rsidR="000A5632" w:rsidRDefault="000A5632">
      <w:pPr>
        <w:spacing w:after="160" w:line="259" w:lineRule="auto"/>
        <w:rPr>
          <w:rFonts w:ascii="Tahoma" w:hAnsi="Tahoma" w:cs="Tahoma"/>
          <w:bCs/>
          <w:iCs/>
          <w:sz w:val="20"/>
          <w:szCs w:val="20"/>
          <w:bdr w:val="none" w:sz="0" w:space="0" w:color="auto" w:frame="1"/>
        </w:rPr>
      </w:pPr>
      <w:r>
        <w:rPr>
          <w:rFonts w:ascii="Tahoma" w:hAnsi="Tahoma" w:cs="Tahoma"/>
          <w:bCs/>
          <w:iCs/>
          <w:sz w:val="20"/>
          <w:szCs w:val="20"/>
          <w:bdr w:val="none" w:sz="0" w:space="0" w:color="auto" w:frame="1"/>
        </w:rPr>
        <w:br w:type="page"/>
      </w:r>
    </w:p>
    <w:p w14:paraId="7D9EFCFC" w14:textId="74EB778A" w:rsidR="006E1083" w:rsidRPr="00B15171" w:rsidRDefault="006E1083"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lastRenderedPageBreak/>
        <w:t xml:space="preserve">Di conseguenza, la tabella degli ammortamenti </w:t>
      </w:r>
      <w:r w:rsidR="00A92EC7" w:rsidRPr="00B15171">
        <w:rPr>
          <w:rFonts w:ascii="Tahoma" w:hAnsi="Tahoma" w:cs="Tahoma"/>
          <w:bCs/>
          <w:iCs/>
          <w:sz w:val="20"/>
          <w:szCs w:val="20"/>
          <w:bdr w:val="none" w:sz="0" w:space="0" w:color="auto" w:frame="1"/>
        </w:rPr>
        <w:t xml:space="preserve">dell’esempio precedente </w:t>
      </w:r>
      <w:r w:rsidRPr="00B15171">
        <w:rPr>
          <w:rFonts w:ascii="Tahoma" w:hAnsi="Tahoma" w:cs="Tahoma"/>
          <w:bCs/>
          <w:iCs/>
          <w:sz w:val="20"/>
          <w:szCs w:val="20"/>
          <w:bdr w:val="none" w:sz="0" w:space="0" w:color="auto" w:frame="1"/>
        </w:rPr>
        <w:t>può essere variata come segue:</w:t>
      </w:r>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6E1499" w:rsidRPr="00B15171" w14:paraId="32E84BA5"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C4D80" w14:textId="77777777" w:rsidR="006E1499" w:rsidRPr="00B15171" w:rsidRDefault="006E1499" w:rsidP="006E1499">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160E61" w14:textId="77777777" w:rsidR="006E1499" w:rsidRPr="00B15171" w:rsidRDefault="006E1499" w:rsidP="006E1499">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3261C6" w14:textId="75F03CDC" w:rsidR="006E1499" w:rsidRPr="00B15171" w:rsidRDefault="006E1499" w:rsidP="006E1499">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w:t>
            </w:r>
            <w:r>
              <w:rPr>
                <w:rFonts w:ascii="Tahoma" w:hAnsi="Tahoma" w:cs="Tahoma"/>
                <w:i/>
                <w:iCs/>
                <w:color w:val="000000"/>
                <w:sz w:val="20"/>
                <w:szCs w:val="20"/>
              </w:rPr>
              <w:t>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DDCE28" w14:textId="1C5BCBB2" w:rsidR="006E1499" w:rsidRPr="00B15171" w:rsidRDefault="006E1499" w:rsidP="006E1499">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3ABD95" w14:textId="08A2243D" w:rsidR="006E1499" w:rsidRPr="00B15171" w:rsidRDefault="006E1499" w:rsidP="006E1499">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87CA16" w14:textId="4F54F0F5" w:rsidR="006E1499" w:rsidRPr="00B15171" w:rsidRDefault="006E1499" w:rsidP="006E1499">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605002" w14:textId="08ACB4B5" w:rsidR="006E1499" w:rsidRPr="00B15171" w:rsidRDefault="006E1499" w:rsidP="006E1499">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CEA4866" w14:textId="649D4517" w:rsidR="006E1499" w:rsidRPr="00B15171" w:rsidRDefault="006E1499" w:rsidP="006E1499">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5</w:t>
            </w:r>
          </w:p>
        </w:tc>
      </w:tr>
    </w:tbl>
    <w:p w14:paraId="45FD6054" w14:textId="77777777" w:rsidR="00F7239E" w:rsidRDefault="00F7239E"/>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27654B" w:rsidRPr="00B15171" w14:paraId="39CF4764" w14:textId="77777777" w:rsidTr="00F7239E">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7163A"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DC840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7C24CB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062DE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1C92F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3F24EF"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78D3C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A61ED0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27654B" w:rsidRPr="00B15171" w14:paraId="090A0F4F" w14:textId="77777777" w:rsidTr="00F7239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FF287FD"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7657EBB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25FBDB6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A1BB56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40A63B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3D9F5724"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4DED1C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13218C24" w14:textId="77777777" w:rsidR="0027654B" w:rsidRPr="00B15171" w:rsidRDefault="0027654B" w:rsidP="00B15171">
            <w:pPr>
              <w:spacing w:after="200" w:line="360" w:lineRule="auto"/>
              <w:jc w:val="right"/>
              <w:rPr>
                <w:rFonts w:ascii="Tahoma" w:hAnsi="Tahoma" w:cs="Tahoma"/>
                <w:color w:val="000000"/>
                <w:sz w:val="20"/>
                <w:szCs w:val="20"/>
              </w:rPr>
            </w:pPr>
          </w:p>
        </w:tc>
      </w:tr>
      <w:tr w:rsidR="0027654B" w:rsidRPr="00B15171" w14:paraId="0D50139B" w14:textId="77777777" w:rsidTr="00F7239E">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1F9EF16"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4C56115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1CE3CAC3"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69E66F5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84AF21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E35414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5C15349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48FD7A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bl>
    <w:p w14:paraId="246545CB" w14:textId="77777777" w:rsidR="00F7239E" w:rsidRDefault="00F7239E"/>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27654B" w:rsidRPr="00B15171" w14:paraId="1A8E7FB8" w14:textId="77777777" w:rsidTr="00F7239E">
        <w:trPr>
          <w:trHeight w:val="300"/>
          <w:jc w:val="center"/>
        </w:trPr>
        <w:tc>
          <w:tcPr>
            <w:tcW w:w="1840" w:type="dxa"/>
            <w:tcBorders>
              <w:top w:val="nil"/>
              <w:left w:val="nil"/>
              <w:bottom w:val="nil"/>
              <w:right w:val="nil"/>
            </w:tcBorders>
            <w:shd w:val="clear" w:color="auto" w:fill="auto"/>
            <w:noWrap/>
            <w:vAlign w:val="center"/>
            <w:hideMark/>
          </w:tcPr>
          <w:p w14:paraId="75443109"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541A2665" w14:textId="77777777" w:rsidR="0027654B" w:rsidRPr="00B15171" w:rsidRDefault="0027654B"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FE1E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CA6CB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BA078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C02F8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EBDADC"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37DFB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67C68291" w14:textId="77777777" w:rsidR="00E80451" w:rsidRPr="00B15171" w:rsidRDefault="00E80451" w:rsidP="00B15171">
      <w:pPr>
        <w:spacing w:after="200" w:line="360" w:lineRule="auto"/>
        <w:jc w:val="both"/>
        <w:rPr>
          <w:rFonts w:ascii="Tahoma" w:hAnsi="Tahoma" w:cs="Tahoma"/>
          <w:sz w:val="20"/>
          <w:szCs w:val="20"/>
        </w:rPr>
      </w:pPr>
    </w:p>
    <w:p w14:paraId="458BF4E1" w14:textId="49486387" w:rsidR="006E1083"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A92EC7" w:rsidRPr="00B15171">
        <w:rPr>
          <w:rFonts w:ascii="Tahoma" w:hAnsi="Tahoma" w:cs="Tahoma"/>
          <w:sz w:val="20"/>
          <w:szCs w:val="20"/>
        </w:rPr>
        <w:t xml:space="preserve"> evidente che il legislatore vuole evitare abusi</w:t>
      </w:r>
      <w:r w:rsidR="00E80451" w:rsidRPr="00B15171">
        <w:rPr>
          <w:rFonts w:ascii="Tahoma" w:hAnsi="Tahoma" w:cs="Tahoma"/>
          <w:sz w:val="20"/>
          <w:szCs w:val="20"/>
        </w:rPr>
        <w:t xml:space="preserve"> e distorsion</w:t>
      </w:r>
      <w:r w:rsidR="00AC5E5E" w:rsidRPr="00B15171">
        <w:rPr>
          <w:rFonts w:ascii="Tahoma" w:hAnsi="Tahoma" w:cs="Tahoma"/>
          <w:sz w:val="20"/>
          <w:szCs w:val="20"/>
        </w:rPr>
        <w:t>i</w:t>
      </w:r>
      <w:r w:rsidR="00E80451" w:rsidRPr="00B15171">
        <w:rPr>
          <w:rFonts w:ascii="Tahoma" w:hAnsi="Tahoma" w:cs="Tahoma"/>
          <w:sz w:val="20"/>
          <w:szCs w:val="20"/>
        </w:rPr>
        <w:t xml:space="preserve"> nell’utilizzo </w:t>
      </w:r>
      <w:r w:rsidR="00A92EC7" w:rsidRPr="00B15171">
        <w:rPr>
          <w:rFonts w:ascii="Tahoma" w:hAnsi="Tahoma" w:cs="Tahoma"/>
          <w:sz w:val="20"/>
          <w:szCs w:val="20"/>
        </w:rPr>
        <w:t xml:space="preserve">dell’agevolazione </w:t>
      </w:r>
      <w:r w:rsidR="00A11F08" w:rsidRPr="00B15171">
        <w:rPr>
          <w:rFonts w:ascii="Tahoma" w:hAnsi="Tahoma" w:cs="Tahoma"/>
          <w:sz w:val="20"/>
          <w:szCs w:val="20"/>
        </w:rPr>
        <w:t xml:space="preserve">e quindi ha stabilito </w:t>
      </w:r>
      <w:r w:rsidR="00A92EC7" w:rsidRPr="00B15171">
        <w:rPr>
          <w:rFonts w:ascii="Tahoma" w:hAnsi="Tahoma" w:cs="Tahoma"/>
          <w:sz w:val="20"/>
          <w:szCs w:val="20"/>
        </w:rPr>
        <w:t xml:space="preserve">che il beneficio che le società ricevono per effetto della mancata effettuazione degli ammortamenti non possa essere distribuito ai soci, ma </w:t>
      </w:r>
      <w:r w:rsidR="00320F6E" w:rsidRPr="00B15171">
        <w:rPr>
          <w:rFonts w:ascii="Tahoma" w:hAnsi="Tahoma" w:cs="Tahoma"/>
          <w:sz w:val="20"/>
          <w:szCs w:val="20"/>
        </w:rPr>
        <w:t>deve restare</w:t>
      </w:r>
      <w:r w:rsidR="00A92EC7" w:rsidRPr="00B15171">
        <w:rPr>
          <w:rFonts w:ascii="Tahoma" w:hAnsi="Tahoma" w:cs="Tahoma"/>
          <w:sz w:val="20"/>
          <w:szCs w:val="20"/>
        </w:rPr>
        <w:t xml:space="preserve"> in azienda rafforzandone la patrimonializzazione.</w:t>
      </w:r>
    </w:p>
    <w:p w14:paraId="253E2D69" w14:textId="77777777"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 xml:space="preserve">Pertanto </w:t>
      </w:r>
      <w:r w:rsidRPr="00B15171">
        <w:rPr>
          <w:rFonts w:ascii="Tahoma" w:hAnsi="Tahoma" w:cs="Tahoma"/>
          <w:b/>
          <w:sz w:val="20"/>
          <w:szCs w:val="20"/>
        </w:rPr>
        <w:t>l’importo degli ammortamenti non effettuati va iscritto in una riserva indisponibile di utili</w:t>
      </w:r>
      <w:r w:rsidRPr="00B15171">
        <w:rPr>
          <w:rFonts w:ascii="Tahoma" w:hAnsi="Tahoma" w:cs="Tahoma"/>
          <w:sz w:val="20"/>
          <w:szCs w:val="20"/>
        </w:rPr>
        <w:t>.</w:t>
      </w:r>
    </w:p>
    <w:p w14:paraId="5D60EE88" w14:textId="1CFA89D2"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In caso di utili inferiori all’importo degli ammortamenti non effettuati, la società può utilizzare, per giungere all’importo necessario, utili degli esercizi precedenti o altre riserve disponibili.</w:t>
      </w:r>
    </w:p>
    <w:p w14:paraId="6AABCBFE" w14:textId="77777777"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Qualora non sussistano utili, la riserva va integrata utilizzando gli utili degli esercizi successivi.</w:t>
      </w:r>
    </w:p>
    <w:p w14:paraId="19B0E54F" w14:textId="7F49B17B" w:rsidR="00CF2094" w:rsidRPr="00B15171" w:rsidRDefault="00CF2094" w:rsidP="00B15171">
      <w:pPr>
        <w:spacing w:after="200" w:line="360" w:lineRule="auto"/>
        <w:jc w:val="both"/>
        <w:rPr>
          <w:rFonts w:ascii="Tahoma" w:hAnsi="Tahoma" w:cs="Tahoma"/>
          <w:sz w:val="20"/>
          <w:szCs w:val="20"/>
        </w:rPr>
      </w:pPr>
      <w:r w:rsidRPr="00B15171">
        <w:rPr>
          <w:rFonts w:ascii="Tahoma" w:hAnsi="Tahoma" w:cs="Tahoma"/>
          <w:sz w:val="20"/>
          <w:szCs w:val="20"/>
          <w:u w:val="single"/>
        </w:rPr>
        <w:t>Tale riserva è completamente indisponibile e non può essere utilizzata nemmeno per la copertura delle perdite</w:t>
      </w:r>
      <w:r w:rsidRPr="00B15171">
        <w:rPr>
          <w:rFonts w:ascii="Tahoma" w:hAnsi="Tahoma" w:cs="Tahoma"/>
          <w:sz w:val="20"/>
          <w:szCs w:val="20"/>
        </w:rPr>
        <w:t xml:space="preserve">. Si può ipotizzare che quando sarà terminato il piano di ammortamento e quindi avrà terminato il suo ruolo prudenziale e anti-abusi, </w:t>
      </w:r>
      <w:r w:rsidR="00E15955" w:rsidRPr="00B15171">
        <w:rPr>
          <w:rFonts w:ascii="Tahoma" w:hAnsi="Tahoma" w:cs="Tahoma"/>
          <w:sz w:val="20"/>
          <w:szCs w:val="20"/>
        </w:rPr>
        <w:t xml:space="preserve">la riserva </w:t>
      </w:r>
      <w:r w:rsidRPr="00B15171">
        <w:rPr>
          <w:rFonts w:ascii="Tahoma" w:hAnsi="Tahoma" w:cs="Tahoma"/>
          <w:sz w:val="20"/>
          <w:szCs w:val="20"/>
        </w:rPr>
        <w:t>tornerà dispon</w:t>
      </w:r>
      <w:r w:rsidR="008F3391" w:rsidRPr="00B15171">
        <w:rPr>
          <w:rFonts w:ascii="Tahoma" w:hAnsi="Tahoma" w:cs="Tahoma"/>
          <w:sz w:val="20"/>
          <w:szCs w:val="20"/>
        </w:rPr>
        <w:t>i</w:t>
      </w:r>
      <w:r w:rsidRPr="00B15171">
        <w:rPr>
          <w:rFonts w:ascii="Tahoma" w:hAnsi="Tahoma" w:cs="Tahoma"/>
          <w:sz w:val="20"/>
          <w:szCs w:val="20"/>
        </w:rPr>
        <w:t>bile.</w:t>
      </w:r>
    </w:p>
    <w:p w14:paraId="387CB2DD" w14:textId="492ACB3F"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Vediamo un’esemplificazione numerica, considerando che la società abbia già compiutamente eseguito l’accantonamento a riserva legale fino all’importo richiesto dalla legge e utilizzando sempre la tabella degli ammortamenti non eseguiti.</w:t>
      </w:r>
    </w:p>
    <w:p w14:paraId="3B86B1EA" w14:textId="77777777" w:rsidR="006901CF" w:rsidRDefault="006901CF">
      <w:pPr>
        <w:spacing w:after="160" w:line="259" w:lineRule="auto"/>
        <w:rPr>
          <w:rFonts w:ascii="Tahoma" w:hAnsi="Tahoma" w:cs="Tahoma"/>
          <w:b/>
          <w:sz w:val="20"/>
          <w:szCs w:val="20"/>
        </w:rPr>
      </w:pPr>
      <w:r>
        <w:rPr>
          <w:rFonts w:ascii="Tahoma" w:hAnsi="Tahoma" w:cs="Tahoma"/>
          <w:b/>
          <w:sz w:val="20"/>
          <w:szCs w:val="20"/>
        </w:rPr>
        <w:br w:type="page"/>
      </w:r>
    </w:p>
    <w:p w14:paraId="04457E8B" w14:textId="19D2800A"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b/>
          <w:sz w:val="20"/>
          <w:szCs w:val="20"/>
        </w:rPr>
        <w:lastRenderedPageBreak/>
        <w:t>Ipotesi I</w:t>
      </w:r>
      <w:r w:rsidRPr="00B15171">
        <w:rPr>
          <w:rFonts w:ascii="Tahoma" w:hAnsi="Tahoma" w:cs="Tahoma"/>
          <w:sz w:val="20"/>
          <w:szCs w:val="20"/>
        </w:rPr>
        <w:t>: Utili dell’esercizio 202</w:t>
      </w:r>
      <w:r w:rsidR="006E1499">
        <w:rPr>
          <w:rFonts w:ascii="Tahoma" w:hAnsi="Tahoma" w:cs="Tahoma"/>
          <w:sz w:val="20"/>
          <w:szCs w:val="20"/>
        </w:rPr>
        <w:t>3</w:t>
      </w:r>
      <w:r w:rsidRPr="00B15171">
        <w:rPr>
          <w:rFonts w:ascii="Tahoma" w:hAnsi="Tahoma" w:cs="Tahoma"/>
          <w:sz w:val="20"/>
          <w:szCs w:val="20"/>
        </w:rPr>
        <w:t xml:space="preserve"> superiori all’importo degli ammortamenti non eseguiti</w:t>
      </w:r>
    </w:p>
    <w:p w14:paraId="79144E1E" w14:textId="77777777"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4AAA6E29" w14:textId="40D874B1" w:rsidR="00A92EC7"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Utile dell’esercizio: 500</w:t>
      </w:r>
    </w:p>
    <w:p w14:paraId="51C17ABD" w14:textId="73F2FEF8" w:rsidR="00B15171" w:rsidRPr="00B15171" w:rsidRDefault="00A92EC7" w:rsidP="00B15171">
      <w:pPr>
        <w:spacing w:after="200" w:line="360" w:lineRule="auto"/>
        <w:jc w:val="both"/>
        <w:rPr>
          <w:rFonts w:ascii="Tahoma" w:hAnsi="Tahoma" w:cs="Tahoma"/>
          <w:sz w:val="20"/>
          <w:szCs w:val="20"/>
        </w:rPr>
      </w:pPr>
      <w:r w:rsidRPr="00B15171">
        <w:rPr>
          <w:rFonts w:ascii="Tahoma" w:hAnsi="Tahoma" w:cs="Tahoma"/>
          <w:sz w:val="20"/>
          <w:szCs w:val="20"/>
        </w:rPr>
        <w:t>In sede di destinazione dell’utile dell’esercizio</w:t>
      </w:r>
      <w:r w:rsidR="000C76DB" w:rsidRPr="00B15171">
        <w:rPr>
          <w:rFonts w:ascii="Tahoma" w:hAnsi="Tahoma" w:cs="Tahoma"/>
          <w:sz w:val="20"/>
          <w:szCs w:val="20"/>
        </w:rPr>
        <w:t xml:space="preserve"> 202</w:t>
      </w:r>
      <w:r w:rsidR="006E1499">
        <w:rPr>
          <w:rFonts w:ascii="Tahoma" w:hAnsi="Tahoma" w:cs="Tahoma"/>
          <w:sz w:val="20"/>
          <w:szCs w:val="20"/>
        </w:rPr>
        <w:t>3</w:t>
      </w:r>
      <w:r w:rsidRPr="00B15171">
        <w:rPr>
          <w:rFonts w:ascii="Tahoma" w:hAnsi="Tahoma" w:cs="Tahoma"/>
          <w:sz w:val="20"/>
          <w:szCs w:val="20"/>
        </w:rPr>
        <w:t xml:space="preserve">, la scrittura </w:t>
      </w:r>
      <w:r w:rsidR="007B7F9F" w:rsidRPr="00B15171">
        <w:rPr>
          <w:rFonts w:ascii="Tahoma" w:hAnsi="Tahoma" w:cs="Tahoma"/>
          <w:sz w:val="20"/>
          <w:szCs w:val="20"/>
        </w:rPr>
        <w:t>è</w:t>
      </w:r>
      <w:r w:rsidRPr="00B15171">
        <w:rPr>
          <w:rFonts w:ascii="Tahoma" w:hAnsi="Tahoma" w:cs="Tahoma"/>
          <w:sz w:val="20"/>
          <w:szCs w:val="20"/>
        </w:rPr>
        <w:t xml:space="preserve"> la seguente:</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15171" w14:paraId="687ED835" w14:textId="77777777" w:rsidTr="000C76DB">
        <w:tc>
          <w:tcPr>
            <w:tcW w:w="3331" w:type="dxa"/>
            <w:tcBorders>
              <w:top w:val="single" w:sz="4" w:space="0" w:color="auto"/>
            </w:tcBorders>
          </w:tcPr>
          <w:p w14:paraId="27758657" w14:textId="4C2C5D44" w:rsidR="000C76DB" w:rsidRPr="00B15171" w:rsidRDefault="000C76DB" w:rsidP="006901CF">
            <w:pPr>
              <w:tabs>
                <w:tab w:val="left" w:pos="709"/>
              </w:tabs>
              <w:spacing w:before="120"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6E1499">
              <w:rPr>
                <w:rFonts w:ascii="Tahoma" w:hAnsi="Tahoma" w:cs="Tahoma"/>
                <w:sz w:val="20"/>
                <w:szCs w:val="20"/>
              </w:rPr>
              <w:t>3</w:t>
            </w:r>
          </w:p>
        </w:tc>
        <w:tc>
          <w:tcPr>
            <w:tcW w:w="567" w:type="dxa"/>
          </w:tcPr>
          <w:p w14:paraId="62AF75DE" w14:textId="77777777" w:rsidR="000C76DB" w:rsidRPr="00B15171" w:rsidRDefault="000C76DB" w:rsidP="006901CF">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0049C3AF" w14:textId="77777777" w:rsidR="000C76DB" w:rsidRPr="00B15171" w:rsidRDefault="000C76DB" w:rsidP="006901CF">
            <w:pPr>
              <w:tabs>
                <w:tab w:val="left" w:pos="709"/>
              </w:tabs>
              <w:spacing w:before="120"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28E4B19F"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500</w:t>
            </w:r>
          </w:p>
        </w:tc>
      </w:tr>
      <w:tr w:rsidR="000C76DB" w:rsidRPr="00B15171" w14:paraId="72E69E5D" w14:textId="77777777" w:rsidTr="000C76DB">
        <w:tc>
          <w:tcPr>
            <w:tcW w:w="3331" w:type="dxa"/>
          </w:tcPr>
          <w:p w14:paraId="6539615D"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65590D24"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245A0E8C"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2DECDCFD"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0C76DB" w:rsidRPr="00B15171" w14:paraId="4469A7DE" w14:textId="77777777" w:rsidTr="000C76DB">
        <w:tc>
          <w:tcPr>
            <w:tcW w:w="3331" w:type="dxa"/>
          </w:tcPr>
          <w:p w14:paraId="1456486E"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4D255424"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2C19BB0D"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7229B09F"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170</w:t>
            </w:r>
          </w:p>
        </w:tc>
      </w:tr>
    </w:tbl>
    <w:p w14:paraId="21B0A7D0" w14:textId="77777777" w:rsidR="00A92EC7" w:rsidRPr="00B15171" w:rsidRDefault="00A92EC7" w:rsidP="00B15171">
      <w:pPr>
        <w:spacing w:after="200" w:line="360" w:lineRule="auto"/>
        <w:jc w:val="both"/>
        <w:rPr>
          <w:rFonts w:ascii="Tahoma" w:hAnsi="Tahoma" w:cs="Tahoma"/>
          <w:sz w:val="20"/>
          <w:szCs w:val="20"/>
        </w:rPr>
      </w:pPr>
    </w:p>
    <w:p w14:paraId="754A30F9" w14:textId="5D02D1BE"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b/>
          <w:sz w:val="20"/>
          <w:szCs w:val="20"/>
        </w:rPr>
        <w:t>Ipotesi II</w:t>
      </w:r>
      <w:r w:rsidRPr="00B15171">
        <w:rPr>
          <w:rFonts w:ascii="Tahoma" w:hAnsi="Tahoma" w:cs="Tahoma"/>
          <w:sz w:val="20"/>
          <w:szCs w:val="20"/>
        </w:rPr>
        <w:t>: Utili dell’esercizio 202</w:t>
      </w:r>
      <w:r w:rsidR="006E1499">
        <w:rPr>
          <w:rFonts w:ascii="Tahoma" w:hAnsi="Tahoma" w:cs="Tahoma"/>
          <w:sz w:val="20"/>
          <w:szCs w:val="20"/>
        </w:rPr>
        <w:t>3</w:t>
      </w:r>
      <w:r w:rsidRPr="00B15171">
        <w:rPr>
          <w:rFonts w:ascii="Tahoma" w:hAnsi="Tahoma" w:cs="Tahoma"/>
          <w:sz w:val="20"/>
          <w:szCs w:val="20"/>
        </w:rPr>
        <w:t xml:space="preserve"> inferiori all’importo degli ammortamenti non eseguiti, ma disponibilità di Utili esercizi precedenti</w:t>
      </w:r>
    </w:p>
    <w:p w14:paraId="3A45C2C2" w14:textId="77777777"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214D6186" w14:textId="77777777"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Utile dell’esercizio: 250</w:t>
      </w:r>
    </w:p>
    <w:p w14:paraId="79F83677" w14:textId="4D142DFA"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Utili esercizi precedenti: 150</w:t>
      </w:r>
    </w:p>
    <w:p w14:paraId="57199636" w14:textId="50355045"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In sede di destinazione dell’utile dell’esercizio 202</w:t>
      </w:r>
      <w:r w:rsidR="006E1499">
        <w:rPr>
          <w:rFonts w:ascii="Tahoma" w:hAnsi="Tahoma" w:cs="Tahoma"/>
          <w:sz w:val="20"/>
          <w:szCs w:val="20"/>
        </w:rPr>
        <w:t>3</w:t>
      </w:r>
      <w:r w:rsidRPr="00B15171">
        <w:rPr>
          <w:rFonts w:ascii="Tahoma" w:hAnsi="Tahoma" w:cs="Tahoma"/>
          <w:sz w:val="20"/>
          <w:szCs w:val="20"/>
        </w:rPr>
        <w:t xml:space="preserve">, la scrittura </w:t>
      </w:r>
      <w:r w:rsidR="007B7F9F" w:rsidRPr="00B15171">
        <w:rPr>
          <w:rFonts w:ascii="Tahoma" w:hAnsi="Tahoma" w:cs="Tahoma"/>
          <w:sz w:val="20"/>
          <w:szCs w:val="20"/>
        </w:rPr>
        <w:t>è</w:t>
      </w:r>
      <w:r w:rsidRPr="00B15171">
        <w:rPr>
          <w:rFonts w:ascii="Tahoma" w:hAnsi="Tahoma" w:cs="Tahoma"/>
          <w:sz w:val="20"/>
          <w:szCs w:val="20"/>
        </w:rPr>
        <w:t xml:space="preserve"> la seguente:</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15171" w14:paraId="19F143CE" w14:textId="77777777" w:rsidTr="000C76DB">
        <w:tc>
          <w:tcPr>
            <w:tcW w:w="3331" w:type="dxa"/>
            <w:tcBorders>
              <w:top w:val="single" w:sz="4" w:space="0" w:color="auto"/>
            </w:tcBorders>
          </w:tcPr>
          <w:p w14:paraId="0BA46FFC" w14:textId="77777777" w:rsidR="000C76DB" w:rsidRPr="00B15171" w:rsidRDefault="000C76DB" w:rsidP="006901CF">
            <w:pPr>
              <w:tabs>
                <w:tab w:val="left" w:pos="709"/>
              </w:tabs>
              <w:spacing w:before="120"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567" w:type="dxa"/>
          </w:tcPr>
          <w:p w14:paraId="3E68CC45" w14:textId="77777777" w:rsidR="000C76DB" w:rsidRPr="00B15171" w:rsidRDefault="000C76DB" w:rsidP="006901CF">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557155F9" w14:textId="77777777" w:rsidR="000C76DB" w:rsidRPr="00B15171" w:rsidRDefault="000C76DB" w:rsidP="006901CF">
            <w:pPr>
              <w:tabs>
                <w:tab w:val="left" w:pos="709"/>
              </w:tabs>
              <w:spacing w:before="120"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bottom w:val="single" w:sz="4" w:space="0" w:color="auto"/>
            </w:tcBorders>
          </w:tcPr>
          <w:p w14:paraId="77FC024D"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0C76DB" w:rsidRPr="00B15171" w14:paraId="76A45ED0" w14:textId="77777777" w:rsidTr="000C76DB">
        <w:tc>
          <w:tcPr>
            <w:tcW w:w="3331" w:type="dxa"/>
          </w:tcPr>
          <w:p w14:paraId="57C2E4D1" w14:textId="285556A3"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6E1499">
              <w:rPr>
                <w:rFonts w:ascii="Tahoma" w:hAnsi="Tahoma" w:cs="Tahoma"/>
                <w:sz w:val="20"/>
                <w:szCs w:val="20"/>
              </w:rPr>
              <w:t>3</w:t>
            </w:r>
          </w:p>
        </w:tc>
        <w:tc>
          <w:tcPr>
            <w:tcW w:w="567" w:type="dxa"/>
          </w:tcPr>
          <w:p w14:paraId="6AD0FB7E"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6E4CFB3E"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1559" w:type="dxa"/>
            <w:tcBorders>
              <w:top w:val="single" w:sz="4" w:space="0" w:color="auto"/>
            </w:tcBorders>
          </w:tcPr>
          <w:p w14:paraId="1A4F7E13"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250</w:t>
            </w:r>
          </w:p>
        </w:tc>
      </w:tr>
      <w:tr w:rsidR="000C76DB" w:rsidRPr="00B15171" w14:paraId="7138D746" w14:textId="77777777" w:rsidTr="000C76DB">
        <w:tc>
          <w:tcPr>
            <w:tcW w:w="3331" w:type="dxa"/>
          </w:tcPr>
          <w:p w14:paraId="1AD64F72"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Utili esercizi precedenti</w:t>
            </w:r>
          </w:p>
        </w:tc>
        <w:tc>
          <w:tcPr>
            <w:tcW w:w="567" w:type="dxa"/>
          </w:tcPr>
          <w:p w14:paraId="2AB281E3"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1D2DA128"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1559" w:type="dxa"/>
          </w:tcPr>
          <w:p w14:paraId="7A8C3E24"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80</w:t>
            </w:r>
          </w:p>
        </w:tc>
      </w:tr>
    </w:tbl>
    <w:p w14:paraId="2CA77D5C" w14:textId="77777777" w:rsidR="00A92EC7" w:rsidRPr="00B15171" w:rsidRDefault="00A92EC7" w:rsidP="00B15171">
      <w:pPr>
        <w:spacing w:after="200" w:line="360" w:lineRule="auto"/>
        <w:jc w:val="both"/>
        <w:rPr>
          <w:rFonts w:ascii="Tahoma" w:hAnsi="Tahoma" w:cs="Tahoma"/>
          <w:sz w:val="20"/>
          <w:szCs w:val="20"/>
        </w:rPr>
      </w:pPr>
    </w:p>
    <w:p w14:paraId="3080FFAD" w14:textId="77777777" w:rsidR="00A92EC7" w:rsidRPr="00B15171" w:rsidRDefault="00A92EC7" w:rsidP="00B15171">
      <w:pPr>
        <w:spacing w:after="200" w:line="360" w:lineRule="auto"/>
        <w:jc w:val="both"/>
        <w:rPr>
          <w:rFonts w:ascii="Tahoma" w:hAnsi="Tahoma" w:cs="Tahoma"/>
          <w:sz w:val="20"/>
          <w:szCs w:val="20"/>
        </w:rPr>
      </w:pPr>
    </w:p>
    <w:p w14:paraId="47FC26D9" w14:textId="528BBF52"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b/>
          <w:sz w:val="20"/>
          <w:szCs w:val="20"/>
        </w:rPr>
        <w:t>Ipotesi III</w:t>
      </w:r>
      <w:r w:rsidRPr="00B15171">
        <w:rPr>
          <w:rFonts w:ascii="Tahoma" w:hAnsi="Tahoma" w:cs="Tahoma"/>
          <w:sz w:val="20"/>
          <w:szCs w:val="20"/>
        </w:rPr>
        <w:t>: Perdita dell’esercizio 202</w:t>
      </w:r>
      <w:r w:rsidR="006E1499">
        <w:rPr>
          <w:rFonts w:ascii="Tahoma" w:hAnsi="Tahoma" w:cs="Tahoma"/>
          <w:sz w:val="20"/>
          <w:szCs w:val="20"/>
        </w:rPr>
        <w:t>3</w:t>
      </w:r>
      <w:r w:rsidRPr="00B15171">
        <w:rPr>
          <w:rFonts w:ascii="Tahoma" w:hAnsi="Tahoma" w:cs="Tahoma"/>
          <w:sz w:val="20"/>
          <w:szCs w:val="20"/>
        </w:rPr>
        <w:t>. Utili dell’esercizio 202</w:t>
      </w:r>
      <w:r w:rsidR="006E1499">
        <w:rPr>
          <w:rFonts w:ascii="Tahoma" w:hAnsi="Tahoma" w:cs="Tahoma"/>
          <w:sz w:val="20"/>
          <w:szCs w:val="20"/>
        </w:rPr>
        <w:t>4</w:t>
      </w:r>
      <w:r w:rsidRPr="00B15171">
        <w:rPr>
          <w:rFonts w:ascii="Tahoma" w:hAnsi="Tahoma" w:cs="Tahoma"/>
          <w:sz w:val="20"/>
          <w:szCs w:val="20"/>
        </w:rPr>
        <w:t xml:space="preserve"> superiori agli ammortamenti non eseguiti</w:t>
      </w:r>
    </w:p>
    <w:p w14:paraId="2F6B2ED8" w14:textId="77777777"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3DF0F068" w14:textId="0C6C2C95"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Perdita dell’esercizio 202</w:t>
      </w:r>
      <w:r w:rsidR="00C34709" w:rsidRPr="00B15171">
        <w:rPr>
          <w:rFonts w:ascii="Tahoma" w:hAnsi="Tahoma" w:cs="Tahoma"/>
          <w:sz w:val="20"/>
          <w:szCs w:val="20"/>
        </w:rPr>
        <w:t>2</w:t>
      </w:r>
      <w:r w:rsidRPr="00B15171">
        <w:rPr>
          <w:rFonts w:ascii="Tahoma" w:hAnsi="Tahoma" w:cs="Tahoma"/>
          <w:sz w:val="20"/>
          <w:szCs w:val="20"/>
        </w:rPr>
        <w:t>: 50</w:t>
      </w:r>
    </w:p>
    <w:p w14:paraId="3F9490D7" w14:textId="061F0234"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Utile dell’esercizio 202</w:t>
      </w:r>
      <w:r w:rsidR="00C34709" w:rsidRPr="00B15171">
        <w:rPr>
          <w:rFonts w:ascii="Tahoma" w:hAnsi="Tahoma" w:cs="Tahoma"/>
          <w:sz w:val="20"/>
          <w:szCs w:val="20"/>
        </w:rPr>
        <w:t>3</w:t>
      </w:r>
      <w:r w:rsidRPr="00B15171">
        <w:rPr>
          <w:rFonts w:ascii="Tahoma" w:hAnsi="Tahoma" w:cs="Tahoma"/>
          <w:sz w:val="20"/>
          <w:szCs w:val="20"/>
        </w:rPr>
        <w:t>: 400</w:t>
      </w:r>
    </w:p>
    <w:p w14:paraId="418560D2" w14:textId="56379B02" w:rsidR="000C76DB"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In sede di destinazione dell’utile dell’esercizio 202</w:t>
      </w:r>
      <w:r w:rsidR="006E1499">
        <w:rPr>
          <w:rFonts w:ascii="Tahoma" w:hAnsi="Tahoma" w:cs="Tahoma"/>
          <w:sz w:val="20"/>
          <w:szCs w:val="20"/>
        </w:rPr>
        <w:t>3</w:t>
      </w:r>
      <w:r w:rsidRPr="00B15171">
        <w:rPr>
          <w:rFonts w:ascii="Tahoma" w:hAnsi="Tahoma" w:cs="Tahoma"/>
          <w:sz w:val="20"/>
          <w:szCs w:val="20"/>
        </w:rPr>
        <w:t>, nessuna scrittura specifica.</w:t>
      </w:r>
    </w:p>
    <w:p w14:paraId="334A8249" w14:textId="2E427CFC" w:rsidR="00E15955" w:rsidRPr="00B15171" w:rsidRDefault="000C76DB" w:rsidP="00B15171">
      <w:pPr>
        <w:spacing w:after="200" w:line="360" w:lineRule="auto"/>
        <w:jc w:val="both"/>
        <w:rPr>
          <w:rFonts w:ascii="Tahoma" w:hAnsi="Tahoma" w:cs="Tahoma"/>
          <w:sz w:val="20"/>
          <w:szCs w:val="20"/>
        </w:rPr>
      </w:pPr>
      <w:r w:rsidRPr="00B15171">
        <w:rPr>
          <w:rFonts w:ascii="Tahoma" w:hAnsi="Tahoma" w:cs="Tahoma"/>
          <w:sz w:val="20"/>
          <w:szCs w:val="20"/>
        </w:rPr>
        <w:t>In sede di destinazione dell’utile dell’esercizio 202</w:t>
      </w:r>
      <w:r w:rsidR="006E1499">
        <w:rPr>
          <w:rFonts w:ascii="Tahoma" w:hAnsi="Tahoma" w:cs="Tahoma"/>
          <w:sz w:val="20"/>
          <w:szCs w:val="20"/>
        </w:rPr>
        <w:t>4</w:t>
      </w:r>
      <w:r w:rsidRPr="00B15171">
        <w:rPr>
          <w:rFonts w:ascii="Tahoma" w:hAnsi="Tahoma" w:cs="Tahoma"/>
          <w:sz w:val="20"/>
          <w:szCs w:val="20"/>
        </w:rPr>
        <w:t xml:space="preserve"> la scrittura sarà la seguente:</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0C76DB" w:rsidRPr="00B15171" w14:paraId="1B4216BB" w14:textId="77777777" w:rsidTr="000C76DB">
        <w:tc>
          <w:tcPr>
            <w:tcW w:w="3331" w:type="dxa"/>
            <w:tcBorders>
              <w:top w:val="single" w:sz="4" w:space="0" w:color="auto"/>
            </w:tcBorders>
          </w:tcPr>
          <w:p w14:paraId="4C7504BC" w14:textId="1C66947F" w:rsidR="000C76DB" w:rsidRPr="00B15171" w:rsidRDefault="000C76DB" w:rsidP="006901CF">
            <w:pPr>
              <w:tabs>
                <w:tab w:val="left" w:pos="709"/>
              </w:tabs>
              <w:spacing w:before="120"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4D0132">
              <w:rPr>
                <w:rFonts w:ascii="Tahoma" w:hAnsi="Tahoma" w:cs="Tahoma"/>
                <w:sz w:val="20"/>
                <w:szCs w:val="20"/>
              </w:rPr>
              <w:t>4</w:t>
            </w:r>
          </w:p>
        </w:tc>
        <w:tc>
          <w:tcPr>
            <w:tcW w:w="567" w:type="dxa"/>
          </w:tcPr>
          <w:p w14:paraId="40436E73" w14:textId="77777777" w:rsidR="000C76DB" w:rsidRPr="00B15171" w:rsidRDefault="000C76DB" w:rsidP="006901CF">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75F0F68F" w14:textId="77777777" w:rsidR="000C76DB" w:rsidRPr="00B15171" w:rsidRDefault="000C76DB" w:rsidP="006901CF">
            <w:pPr>
              <w:tabs>
                <w:tab w:val="left" w:pos="709"/>
              </w:tabs>
              <w:spacing w:before="120"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382FC269"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400</w:t>
            </w:r>
          </w:p>
        </w:tc>
      </w:tr>
      <w:tr w:rsidR="000C76DB" w:rsidRPr="00B15171" w14:paraId="6A7D56E1" w14:textId="77777777" w:rsidTr="000C76DB">
        <w:tc>
          <w:tcPr>
            <w:tcW w:w="3331" w:type="dxa"/>
          </w:tcPr>
          <w:p w14:paraId="516EBC94"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20455FE5"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207C9DC6"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67BD76A4"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0C76DB" w:rsidRPr="00B15171" w14:paraId="299557C0" w14:textId="77777777" w:rsidTr="000C76DB">
        <w:tc>
          <w:tcPr>
            <w:tcW w:w="3331" w:type="dxa"/>
          </w:tcPr>
          <w:p w14:paraId="657AE5C1"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36CD0C28"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73583BB6" w14:textId="58139711"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Perdita dell’esercizio 202</w:t>
            </w:r>
            <w:r w:rsidR="004D0132">
              <w:rPr>
                <w:rFonts w:ascii="Tahoma" w:hAnsi="Tahoma" w:cs="Tahoma"/>
                <w:sz w:val="20"/>
                <w:szCs w:val="20"/>
              </w:rPr>
              <w:t>3</w:t>
            </w:r>
          </w:p>
        </w:tc>
        <w:tc>
          <w:tcPr>
            <w:tcW w:w="1559" w:type="dxa"/>
          </w:tcPr>
          <w:p w14:paraId="1AF7A583"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50</w:t>
            </w:r>
          </w:p>
        </w:tc>
      </w:tr>
      <w:tr w:rsidR="000C76DB" w:rsidRPr="00B15171" w14:paraId="2AD5FCAA" w14:textId="77777777" w:rsidTr="000C76DB">
        <w:tc>
          <w:tcPr>
            <w:tcW w:w="3331" w:type="dxa"/>
          </w:tcPr>
          <w:p w14:paraId="61542D53"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p>
        </w:tc>
        <w:tc>
          <w:tcPr>
            <w:tcW w:w="567" w:type="dxa"/>
          </w:tcPr>
          <w:p w14:paraId="755BBB6A" w14:textId="77777777" w:rsidR="000C76DB" w:rsidRPr="00B15171" w:rsidRDefault="000C76DB"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5B31D1C9" w14:textId="77777777" w:rsidR="000C76DB" w:rsidRPr="00B15171" w:rsidRDefault="000C76DB"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2149E4A9" w14:textId="77777777" w:rsidR="000C76DB" w:rsidRPr="00B15171" w:rsidRDefault="000C76DB"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20</w:t>
            </w:r>
          </w:p>
        </w:tc>
      </w:tr>
    </w:tbl>
    <w:p w14:paraId="6E4AD45B" w14:textId="77777777" w:rsidR="000C76DB" w:rsidRPr="00B15171" w:rsidRDefault="000C76DB" w:rsidP="00B15171">
      <w:pPr>
        <w:spacing w:after="200" w:line="360" w:lineRule="auto"/>
        <w:jc w:val="both"/>
        <w:rPr>
          <w:rFonts w:ascii="Tahoma" w:hAnsi="Tahoma" w:cs="Tahoma"/>
          <w:sz w:val="20"/>
          <w:szCs w:val="20"/>
        </w:rPr>
      </w:pPr>
    </w:p>
    <w:p w14:paraId="47C195A7" w14:textId="77777777" w:rsidR="00CD7279" w:rsidRPr="00B15171" w:rsidRDefault="00CD727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Prima di occuparci delle esigenze di informativa imposte dal comma 7-</w:t>
      </w:r>
      <w:r w:rsidRPr="00B15171">
        <w:rPr>
          <w:rFonts w:ascii="Tahoma" w:hAnsi="Tahoma" w:cs="Tahoma"/>
          <w:bCs/>
          <w:i/>
          <w:iCs/>
          <w:sz w:val="20"/>
          <w:szCs w:val="20"/>
          <w:bdr w:val="none" w:sz="0" w:space="0" w:color="auto" w:frame="1"/>
        </w:rPr>
        <w:t>quater</w:t>
      </w:r>
      <w:r w:rsidRPr="00B15171">
        <w:rPr>
          <w:rFonts w:ascii="Tahoma" w:hAnsi="Tahoma" w:cs="Tahoma"/>
          <w:bCs/>
          <w:iCs/>
          <w:sz w:val="20"/>
          <w:szCs w:val="20"/>
          <w:bdr w:val="none" w:sz="0" w:space="0" w:color="auto" w:frame="1"/>
        </w:rPr>
        <w:t xml:space="preserve"> dell’art. 60, occorre chiudere l’esposizione della deroga considerando come </w:t>
      </w:r>
      <w:r w:rsidRPr="00B15171">
        <w:rPr>
          <w:rFonts w:ascii="Tahoma" w:hAnsi="Tahoma" w:cs="Tahoma"/>
          <w:bCs/>
          <w:iCs/>
          <w:sz w:val="20"/>
          <w:szCs w:val="20"/>
          <w:u w:val="single"/>
          <w:bdr w:val="none" w:sz="0" w:space="0" w:color="auto" w:frame="1"/>
        </w:rPr>
        <w:t>il comma 7-</w:t>
      </w:r>
      <w:r w:rsidRPr="00B15171">
        <w:rPr>
          <w:rFonts w:ascii="Tahoma" w:hAnsi="Tahoma" w:cs="Tahoma"/>
          <w:bCs/>
          <w:i/>
          <w:iCs/>
          <w:sz w:val="20"/>
          <w:szCs w:val="20"/>
          <w:u w:val="single"/>
          <w:bdr w:val="none" w:sz="0" w:space="0" w:color="auto" w:frame="1"/>
        </w:rPr>
        <w:t>quinquies</w:t>
      </w:r>
      <w:r w:rsidRPr="00B15171">
        <w:rPr>
          <w:rFonts w:ascii="Tahoma" w:hAnsi="Tahoma" w:cs="Tahoma"/>
          <w:bCs/>
          <w:iCs/>
          <w:sz w:val="20"/>
          <w:szCs w:val="20"/>
          <w:u w:val="single"/>
          <w:bdr w:val="none" w:sz="0" w:space="0" w:color="auto" w:frame="1"/>
        </w:rPr>
        <w:t xml:space="preserve"> consenta alle aziende che si sono avvalse della deroga di poter procedere comunque alla deduzione degli ammortamenti</w:t>
      </w:r>
      <w:r w:rsidRPr="00B15171">
        <w:rPr>
          <w:rFonts w:ascii="Tahoma" w:hAnsi="Tahoma" w:cs="Tahoma"/>
          <w:bCs/>
          <w:iCs/>
          <w:sz w:val="20"/>
          <w:szCs w:val="20"/>
          <w:bdr w:val="none" w:sz="0" w:space="0" w:color="auto" w:frame="1"/>
        </w:rPr>
        <w:t xml:space="preserve"> (ovviamente di quelli deducibili</w:t>
      </w:r>
      <w:r w:rsidR="005070B0" w:rsidRPr="00B15171">
        <w:rPr>
          <w:rFonts w:ascii="Tahoma" w:hAnsi="Tahoma" w:cs="Tahoma"/>
          <w:bCs/>
          <w:iCs/>
          <w:sz w:val="20"/>
          <w:szCs w:val="20"/>
          <w:bdr w:val="none" w:sz="0" w:space="0" w:color="auto" w:frame="1"/>
        </w:rPr>
        <w:t xml:space="preserve"> in base al Testo Unico delle Imposte sui Redditi</w:t>
      </w:r>
      <w:r w:rsidRPr="00B15171">
        <w:rPr>
          <w:rFonts w:ascii="Tahoma" w:hAnsi="Tahoma" w:cs="Tahoma"/>
          <w:bCs/>
          <w:iCs/>
          <w:sz w:val="20"/>
          <w:szCs w:val="20"/>
          <w:bdr w:val="none" w:sz="0" w:space="0" w:color="auto" w:frame="1"/>
        </w:rPr>
        <w:t>) sia ai fini Ires che ai fini Irap, a prescindere dall’imputazione a conto economico.</w:t>
      </w:r>
    </w:p>
    <w:p w14:paraId="68970567" w14:textId="77777777" w:rsidR="00CD7279" w:rsidRPr="00B15171" w:rsidRDefault="00CD727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Si tratta, anche in questo caso di una facoltà, e quindi una società potrebbe senza problemi scegliere di non procedere agli ammortamenti e di non procedere alla loro deduzione ai fini Ires </w:t>
      </w:r>
      <w:proofErr w:type="spellStart"/>
      <w:r w:rsidRPr="00B15171">
        <w:rPr>
          <w:rFonts w:ascii="Tahoma" w:hAnsi="Tahoma" w:cs="Tahoma"/>
          <w:bCs/>
          <w:iCs/>
          <w:sz w:val="20"/>
          <w:szCs w:val="20"/>
          <w:bdr w:val="none" w:sz="0" w:space="0" w:color="auto" w:frame="1"/>
        </w:rPr>
        <w:t>ed</w:t>
      </w:r>
      <w:proofErr w:type="spellEnd"/>
      <w:r w:rsidRPr="00B15171">
        <w:rPr>
          <w:rFonts w:ascii="Tahoma" w:hAnsi="Tahoma" w:cs="Tahoma"/>
          <w:bCs/>
          <w:iCs/>
          <w:sz w:val="20"/>
          <w:szCs w:val="20"/>
          <w:bdr w:val="none" w:sz="0" w:space="0" w:color="auto" w:frame="1"/>
        </w:rPr>
        <w:t xml:space="preserve"> Irap.</w:t>
      </w:r>
    </w:p>
    <w:p w14:paraId="04B7232D" w14:textId="77777777" w:rsidR="00CD7279" w:rsidRPr="00B15171" w:rsidRDefault="00CD727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u w:val="single"/>
          <w:bdr w:val="none" w:sz="0" w:space="0" w:color="auto" w:frame="1"/>
        </w:rPr>
        <w:t xml:space="preserve">Qualora invece la società scegliesse di procedere alla deduzione </w:t>
      </w:r>
      <w:r w:rsidR="000E7BCD" w:rsidRPr="00B15171">
        <w:rPr>
          <w:rFonts w:ascii="Tahoma" w:hAnsi="Tahoma" w:cs="Tahoma"/>
          <w:bCs/>
          <w:iCs/>
          <w:sz w:val="20"/>
          <w:szCs w:val="20"/>
          <w:u w:val="single"/>
          <w:bdr w:val="none" w:sz="0" w:space="0" w:color="auto" w:frame="1"/>
        </w:rPr>
        <w:t>degli ammortamenti non iscritti in conto economico, vi sarebbe, in ossequio al Principio contabile OIC 25 “Imposte sui redditi” l’obbligo di registrare le correlative imposte differite</w:t>
      </w:r>
      <w:r w:rsidR="000E7BCD" w:rsidRPr="00B15171">
        <w:rPr>
          <w:rFonts w:ascii="Tahoma" w:hAnsi="Tahoma" w:cs="Tahoma"/>
          <w:bCs/>
          <w:iCs/>
          <w:sz w:val="20"/>
          <w:szCs w:val="20"/>
          <w:bdr w:val="none" w:sz="0" w:space="0" w:color="auto" w:frame="1"/>
        </w:rPr>
        <w:t>.</w:t>
      </w:r>
    </w:p>
    <w:p w14:paraId="00CD3843" w14:textId="77777777" w:rsidR="000E7BCD" w:rsidRPr="00B15171" w:rsidRDefault="000E7BCD"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Questo in quanto la deduzione degli ammortamenti sarebbe una differenza temporanea </w:t>
      </w:r>
      <w:r w:rsidR="00DC3B8A" w:rsidRPr="00B15171">
        <w:rPr>
          <w:rFonts w:ascii="Tahoma" w:hAnsi="Tahoma" w:cs="Tahoma"/>
          <w:bCs/>
          <w:iCs/>
          <w:sz w:val="20"/>
          <w:szCs w:val="20"/>
          <w:bdr w:val="none" w:sz="0" w:space="0" w:color="auto" w:frame="1"/>
        </w:rPr>
        <w:t>imponibile, cioè una differenza che nella determinazione dell’imponibile degli esercizi successivi si tradurrà in un importo imponibile.</w:t>
      </w:r>
    </w:p>
    <w:p w14:paraId="3F239705" w14:textId="46977722" w:rsidR="00DC3B8A" w:rsidRPr="00B15171" w:rsidRDefault="00DC3B8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Infatti, per effetto della trasposizione di un anno del piano di ammortamento, gli amministratori già hanno certezza (</w:t>
      </w:r>
      <w:proofErr w:type="spellStart"/>
      <w:r w:rsidRPr="00B15171">
        <w:rPr>
          <w:rFonts w:ascii="Tahoma" w:hAnsi="Tahoma" w:cs="Tahoma"/>
          <w:bCs/>
          <w:iCs/>
          <w:sz w:val="20"/>
          <w:szCs w:val="20"/>
          <w:bdr w:val="none" w:sz="0" w:space="0" w:color="auto" w:frame="1"/>
        </w:rPr>
        <w:t>nell’</w:t>
      </w:r>
      <w:r w:rsidRPr="00B15171">
        <w:rPr>
          <w:rFonts w:ascii="Tahoma" w:hAnsi="Tahoma" w:cs="Tahoma"/>
          <w:bCs/>
          <w:i/>
          <w:iCs/>
          <w:sz w:val="20"/>
          <w:szCs w:val="20"/>
          <w:bdr w:val="none" w:sz="0" w:space="0" w:color="auto" w:frame="1"/>
        </w:rPr>
        <w:t>an</w:t>
      </w:r>
      <w:proofErr w:type="spellEnd"/>
      <w:r w:rsidRPr="00B15171">
        <w:rPr>
          <w:rFonts w:ascii="Tahoma" w:hAnsi="Tahoma" w:cs="Tahoma"/>
          <w:bCs/>
          <w:iCs/>
          <w:sz w:val="20"/>
          <w:szCs w:val="20"/>
          <w:bdr w:val="none" w:sz="0" w:space="0" w:color="auto" w:frame="1"/>
        </w:rPr>
        <w:t xml:space="preserve"> e nel </w:t>
      </w:r>
      <w:r w:rsidRPr="00B15171">
        <w:rPr>
          <w:rFonts w:ascii="Tahoma" w:hAnsi="Tahoma" w:cs="Tahoma"/>
          <w:bCs/>
          <w:i/>
          <w:iCs/>
          <w:sz w:val="20"/>
          <w:szCs w:val="20"/>
          <w:bdr w:val="none" w:sz="0" w:space="0" w:color="auto" w:frame="1"/>
        </w:rPr>
        <w:t>quantum)</w:t>
      </w:r>
      <w:r w:rsidRPr="00B15171">
        <w:rPr>
          <w:rFonts w:ascii="Tahoma" w:hAnsi="Tahoma" w:cs="Tahoma"/>
          <w:bCs/>
          <w:iCs/>
          <w:sz w:val="20"/>
          <w:szCs w:val="20"/>
          <w:bdr w:val="none" w:sz="0" w:space="0" w:color="auto" w:frame="1"/>
        </w:rPr>
        <w:t xml:space="preserve"> che nell’ultimo esercizio di vita utile delle immobilizzazioni, l’anno ulteriore aggiunto per effetto della deroga, l’ammortamento sarà indeducibile e quindi nella dichiarazione di quell’esercizio dovrà essere operata una ripresa in aumento.</w:t>
      </w:r>
    </w:p>
    <w:p w14:paraId="46DE96E5" w14:textId="77777777" w:rsidR="000A5632" w:rsidRDefault="000A5632">
      <w:pPr>
        <w:spacing w:after="160" w:line="259" w:lineRule="auto"/>
        <w:rPr>
          <w:rFonts w:ascii="Tahoma" w:hAnsi="Tahoma" w:cs="Tahoma"/>
          <w:bCs/>
          <w:iCs/>
          <w:sz w:val="20"/>
          <w:szCs w:val="20"/>
          <w:bdr w:val="none" w:sz="0" w:space="0" w:color="auto" w:frame="1"/>
        </w:rPr>
      </w:pPr>
      <w:r>
        <w:rPr>
          <w:rFonts w:ascii="Tahoma" w:hAnsi="Tahoma" w:cs="Tahoma"/>
          <w:bCs/>
          <w:iCs/>
          <w:sz w:val="20"/>
          <w:szCs w:val="20"/>
          <w:bdr w:val="none" w:sz="0" w:space="0" w:color="auto" w:frame="1"/>
        </w:rPr>
        <w:br w:type="page"/>
      </w:r>
    </w:p>
    <w:p w14:paraId="420ED458" w14:textId="00B55084" w:rsidR="00DC3B8A" w:rsidRPr="00B15171" w:rsidRDefault="00DC3B8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lastRenderedPageBreak/>
        <w:t>Torniamo alla tabella degli ammortamenti dopo la deroga:</w:t>
      </w:r>
    </w:p>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E761CB" w:rsidRPr="00B15171" w14:paraId="5625D2B3"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503C4" w14:textId="77777777" w:rsidR="00E761CB" w:rsidRPr="00B15171" w:rsidRDefault="00E761CB" w:rsidP="00E761CB">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B9E6133" w14:textId="77777777" w:rsidR="00E761CB" w:rsidRPr="00B15171" w:rsidRDefault="00E761CB" w:rsidP="00E761CB">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603CA0E" w14:textId="47C1A08B" w:rsidR="00E761CB" w:rsidRPr="00B15171" w:rsidRDefault="00E761CB" w:rsidP="00E761CB">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w:t>
            </w:r>
            <w:r>
              <w:rPr>
                <w:rFonts w:ascii="Tahoma" w:hAnsi="Tahoma" w:cs="Tahoma"/>
                <w:i/>
                <w:iCs/>
                <w:color w:val="000000"/>
                <w:sz w:val="20"/>
                <w:szCs w:val="20"/>
              </w:rPr>
              <w:t>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A6B3D79" w14:textId="6A38DBE5" w:rsidR="00E761CB" w:rsidRPr="00B15171" w:rsidRDefault="00E761CB" w:rsidP="00E761CB">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22223F" w14:textId="2258D382" w:rsidR="00E761CB" w:rsidRPr="00B15171" w:rsidRDefault="00E761CB" w:rsidP="00E761CB">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B88BC2F" w14:textId="44B6EA9B" w:rsidR="00E761CB" w:rsidRPr="00B15171" w:rsidRDefault="00E761CB" w:rsidP="00E761CB">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A7FCC4" w14:textId="385327FB" w:rsidR="00E761CB" w:rsidRPr="00B15171" w:rsidRDefault="00E761CB" w:rsidP="00E761CB">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298ACB1" w14:textId="6931A2B2" w:rsidR="00E761CB" w:rsidRPr="00B15171" w:rsidRDefault="00E761CB" w:rsidP="00E761CB">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Pr>
                <w:rFonts w:ascii="Tahoma" w:hAnsi="Tahoma" w:cs="Tahoma"/>
                <w:i/>
                <w:iCs/>
                <w:color w:val="000000"/>
                <w:sz w:val="20"/>
                <w:szCs w:val="20"/>
              </w:rPr>
              <w:t>5</w:t>
            </w:r>
          </w:p>
        </w:tc>
      </w:tr>
    </w:tbl>
    <w:p w14:paraId="31854936" w14:textId="77777777" w:rsidR="006901CF" w:rsidRDefault="006901CF"/>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27654B" w:rsidRPr="00B15171" w14:paraId="200237E1" w14:textId="77777777" w:rsidTr="006901C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DD2C6"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6CBD45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49DE259"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015AE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7084ED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C4830B"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1E3EBA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FD52BE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27654B" w:rsidRPr="00B15171" w14:paraId="34016B47" w14:textId="77777777" w:rsidTr="006901C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02668FD"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2C9678D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23A7B704"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7424CA2D"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6D0341"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6B22A57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B32795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A658739" w14:textId="77777777" w:rsidR="0027654B" w:rsidRPr="00B15171" w:rsidRDefault="0027654B" w:rsidP="00B15171">
            <w:pPr>
              <w:spacing w:after="200" w:line="360" w:lineRule="auto"/>
              <w:jc w:val="right"/>
              <w:rPr>
                <w:rFonts w:ascii="Tahoma" w:hAnsi="Tahoma" w:cs="Tahoma"/>
                <w:color w:val="000000"/>
                <w:sz w:val="20"/>
                <w:szCs w:val="20"/>
              </w:rPr>
            </w:pPr>
          </w:p>
        </w:tc>
      </w:tr>
      <w:tr w:rsidR="0027654B" w:rsidRPr="00B15171" w14:paraId="112064F1" w14:textId="77777777" w:rsidTr="006901C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57D46E7"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2215EA0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3DBFEDC7"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711BFF7"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EFE23F2"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6B5E41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0AFD0747"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280CE0FF"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bl>
    <w:p w14:paraId="62F3619E" w14:textId="77777777" w:rsidR="006901CF" w:rsidRDefault="006901CF"/>
    <w:tbl>
      <w:tblPr>
        <w:tblW w:w="856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tblGrid>
      <w:tr w:rsidR="0027654B" w:rsidRPr="00B15171" w14:paraId="141C68C1" w14:textId="77777777" w:rsidTr="006901CF">
        <w:trPr>
          <w:trHeight w:val="300"/>
          <w:jc w:val="center"/>
        </w:trPr>
        <w:tc>
          <w:tcPr>
            <w:tcW w:w="1840" w:type="dxa"/>
            <w:tcBorders>
              <w:top w:val="nil"/>
              <w:left w:val="nil"/>
              <w:bottom w:val="nil"/>
              <w:right w:val="nil"/>
            </w:tcBorders>
            <w:shd w:val="clear" w:color="auto" w:fill="auto"/>
            <w:noWrap/>
            <w:vAlign w:val="center"/>
            <w:hideMark/>
          </w:tcPr>
          <w:p w14:paraId="5FA7F2D6" w14:textId="77777777" w:rsidR="0027654B" w:rsidRPr="00B15171" w:rsidRDefault="0027654B"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491BD847" w14:textId="77777777" w:rsidR="0027654B" w:rsidRPr="00B15171" w:rsidRDefault="0027654B"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50225"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7023E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1F16CE"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BAE9A0"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BA184A8"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6AD93A" w14:textId="77777777" w:rsidR="0027654B" w:rsidRPr="00B15171" w:rsidRDefault="0027654B"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03398ECA" w14:textId="77777777" w:rsidR="0027654B" w:rsidRPr="00B15171" w:rsidRDefault="0027654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p>
    <w:p w14:paraId="522784F8" w14:textId="303B70B0" w:rsidR="00DC3B8A"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La società decide di dedurre 330 di ammortamenti non eseguiti nel 202</w:t>
      </w:r>
      <w:r w:rsidR="00E761CB">
        <w:rPr>
          <w:rFonts w:ascii="Tahoma" w:hAnsi="Tahoma" w:cs="Tahoma"/>
          <w:bCs/>
          <w:iCs/>
          <w:sz w:val="20"/>
          <w:szCs w:val="20"/>
          <w:bdr w:val="none" w:sz="0" w:space="0" w:color="auto" w:frame="1"/>
        </w:rPr>
        <w:t>3</w:t>
      </w:r>
      <w:r w:rsidRPr="00B15171">
        <w:rPr>
          <w:rFonts w:ascii="Tahoma" w:hAnsi="Tahoma" w:cs="Tahoma"/>
          <w:bCs/>
          <w:iCs/>
          <w:sz w:val="20"/>
          <w:szCs w:val="20"/>
          <w:bdr w:val="none" w:sz="0" w:space="0" w:color="auto" w:frame="1"/>
        </w:rPr>
        <w:t>.</w:t>
      </w:r>
    </w:p>
    <w:p w14:paraId="5124F0AB" w14:textId="4A822C62"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In questo caso sa già che ammortamenti per</w:t>
      </w:r>
      <w:r w:rsidR="0027654B" w:rsidRPr="00B15171">
        <w:rPr>
          <w:rFonts w:ascii="Tahoma" w:hAnsi="Tahoma" w:cs="Tahoma"/>
          <w:bCs/>
          <w:iCs/>
          <w:sz w:val="20"/>
          <w:szCs w:val="20"/>
          <w:bdr w:val="none" w:sz="0" w:space="0" w:color="auto" w:frame="1"/>
        </w:rPr>
        <w:t xml:space="preserve"> 50</w:t>
      </w:r>
      <w:r w:rsidR="00A76F58" w:rsidRPr="00B15171">
        <w:rPr>
          <w:rFonts w:ascii="Tahoma" w:hAnsi="Tahoma" w:cs="Tahoma"/>
          <w:bCs/>
          <w:iCs/>
          <w:sz w:val="20"/>
          <w:szCs w:val="20"/>
          <w:bdr w:val="none" w:sz="0" w:space="0" w:color="auto" w:frame="1"/>
        </w:rPr>
        <w:t xml:space="preserve"> nel 202</w:t>
      </w:r>
      <w:r w:rsidR="00E761CB">
        <w:rPr>
          <w:rFonts w:ascii="Tahoma" w:hAnsi="Tahoma" w:cs="Tahoma"/>
          <w:bCs/>
          <w:iCs/>
          <w:sz w:val="20"/>
          <w:szCs w:val="20"/>
          <w:bdr w:val="none" w:sz="0" w:space="0" w:color="auto" w:frame="1"/>
        </w:rPr>
        <w:t>4</w:t>
      </w:r>
      <w:r w:rsidR="00A76F58" w:rsidRPr="00B15171">
        <w:rPr>
          <w:rFonts w:ascii="Tahoma" w:hAnsi="Tahoma" w:cs="Tahoma"/>
          <w:bCs/>
          <w:iCs/>
          <w:sz w:val="20"/>
          <w:szCs w:val="20"/>
          <w:bdr w:val="none" w:sz="0" w:space="0" w:color="auto" w:frame="1"/>
        </w:rPr>
        <w:t xml:space="preserve"> (sugli Automezzi)</w:t>
      </w:r>
      <w:r w:rsidRPr="00B15171">
        <w:rPr>
          <w:rFonts w:ascii="Tahoma" w:hAnsi="Tahoma" w:cs="Tahoma"/>
          <w:bCs/>
          <w:iCs/>
          <w:sz w:val="20"/>
          <w:szCs w:val="20"/>
          <w:bdr w:val="none" w:sz="0" w:space="0" w:color="auto" w:frame="1"/>
        </w:rPr>
        <w:t xml:space="preserve"> </w:t>
      </w:r>
      <w:r w:rsidR="0027654B" w:rsidRPr="00B15171">
        <w:rPr>
          <w:rFonts w:ascii="Tahoma" w:hAnsi="Tahoma" w:cs="Tahoma"/>
          <w:bCs/>
          <w:iCs/>
          <w:sz w:val="20"/>
          <w:szCs w:val="20"/>
          <w:bdr w:val="none" w:sz="0" w:space="0" w:color="auto" w:frame="1"/>
        </w:rPr>
        <w:t>e 280</w:t>
      </w:r>
      <w:r w:rsidRPr="00B15171">
        <w:rPr>
          <w:rFonts w:ascii="Tahoma" w:hAnsi="Tahoma" w:cs="Tahoma"/>
          <w:bCs/>
          <w:iCs/>
          <w:sz w:val="20"/>
          <w:szCs w:val="20"/>
          <w:bdr w:val="none" w:sz="0" w:space="0" w:color="auto" w:frame="1"/>
        </w:rPr>
        <w:t xml:space="preserve"> nel </w:t>
      </w:r>
      <w:r w:rsidR="006E0ED6">
        <w:rPr>
          <w:rFonts w:ascii="Tahoma" w:hAnsi="Tahoma" w:cs="Tahoma"/>
          <w:bCs/>
          <w:iCs/>
          <w:sz w:val="20"/>
          <w:szCs w:val="20"/>
          <w:bdr w:val="none" w:sz="0" w:space="0" w:color="auto" w:frame="1"/>
        </w:rPr>
        <w:t xml:space="preserve">2025 </w:t>
      </w:r>
      <w:r w:rsidRPr="00B15171">
        <w:rPr>
          <w:rFonts w:ascii="Tahoma" w:hAnsi="Tahoma" w:cs="Tahoma"/>
          <w:bCs/>
          <w:iCs/>
          <w:sz w:val="20"/>
          <w:szCs w:val="20"/>
          <w:bdr w:val="none" w:sz="0" w:space="0" w:color="auto" w:frame="1"/>
        </w:rPr>
        <w:t>(</w:t>
      </w:r>
      <w:r w:rsidR="00A76F58" w:rsidRPr="00B15171">
        <w:rPr>
          <w:rFonts w:ascii="Tahoma" w:hAnsi="Tahoma" w:cs="Tahoma"/>
          <w:bCs/>
          <w:iCs/>
          <w:sz w:val="20"/>
          <w:szCs w:val="20"/>
          <w:bdr w:val="none" w:sz="0" w:space="0" w:color="auto" w:frame="1"/>
        </w:rPr>
        <w:t xml:space="preserve">200 </w:t>
      </w:r>
      <w:r w:rsidRPr="00B15171">
        <w:rPr>
          <w:rFonts w:ascii="Tahoma" w:hAnsi="Tahoma" w:cs="Tahoma"/>
          <w:bCs/>
          <w:iCs/>
          <w:sz w:val="20"/>
          <w:szCs w:val="20"/>
          <w:bdr w:val="none" w:sz="0" w:space="0" w:color="auto" w:frame="1"/>
        </w:rPr>
        <w:t>sulle Spese di s</w:t>
      </w:r>
      <w:r w:rsidR="0027654B" w:rsidRPr="00B15171">
        <w:rPr>
          <w:rFonts w:ascii="Tahoma" w:hAnsi="Tahoma" w:cs="Tahoma"/>
          <w:bCs/>
          <w:iCs/>
          <w:sz w:val="20"/>
          <w:szCs w:val="20"/>
          <w:bdr w:val="none" w:sz="0" w:space="0" w:color="auto" w:frame="1"/>
        </w:rPr>
        <w:t>viluppo e 8</w:t>
      </w:r>
      <w:r w:rsidR="00A76F58" w:rsidRPr="00B15171">
        <w:rPr>
          <w:rFonts w:ascii="Tahoma" w:hAnsi="Tahoma" w:cs="Tahoma"/>
          <w:bCs/>
          <w:iCs/>
          <w:sz w:val="20"/>
          <w:szCs w:val="20"/>
          <w:bdr w:val="none" w:sz="0" w:space="0" w:color="auto" w:frame="1"/>
        </w:rPr>
        <w:t>0 sulle Macchine Elettroniche d’ufficio</w:t>
      </w:r>
      <w:r w:rsidRPr="00B15171">
        <w:rPr>
          <w:rFonts w:ascii="Tahoma" w:hAnsi="Tahoma" w:cs="Tahoma"/>
          <w:bCs/>
          <w:iCs/>
          <w:sz w:val="20"/>
          <w:szCs w:val="20"/>
          <w:bdr w:val="none" w:sz="0" w:space="0" w:color="auto" w:frame="1"/>
        </w:rPr>
        <w:t>) saranno indeducibili e quindi già è a conoscenza che sussiste un debito differito per imposte.</w:t>
      </w:r>
    </w:p>
    <w:p w14:paraId="37FC036E" w14:textId="3BC221A7"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Considerando le attuali aliquote (24% per Ires e – ad esempio per il Lazio – 4,82% per Irap) si avrà:</w:t>
      </w:r>
    </w:p>
    <w:p w14:paraId="5A1C6408" w14:textId="77777777"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Ammortamenti non eseguiti ma dedotti: 330</w:t>
      </w:r>
    </w:p>
    <w:p w14:paraId="0E367547" w14:textId="77777777"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Ires differita (24%): 79,20</w:t>
      </w:r>
    </w:p>
    <w:p w14:paraId="14D1DBE2" w14:textId="2191D664" w:rsidR="00195BEB"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Irap differita (4,82%): 15,91</w:t>
      </w:r>
    </w:p>
    <w:p w14:paraId="33056632" w14:textId="72DA822E" w:rsidR="00E15955" w:rsidRPr="00B15171" w:rsidRDefault="00195BE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Le scritture contabili saranno le seguenti:</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195BEB" w:rsidRPr="00B15171" w14:paraId="1AB05DA5" w14:textId="77777777" w:rsidTr="00C32E7A">
        <w:tc>
          <w:tcPr>
            <w:tcW w:w="3686" w:type="dxa"/>
            <w:tcBorders>
              <w:top w:val="single" w:sz="4" w:space="0" w:color="auto"/>
            </w:tcBorders>
          </w:tcPr>
          <w:p w14:paraId="712E5537" w14:textId="77777777" w:rsidR="00195BEB" w:rsidRPr="00B15171" w:rsidRDefault="00195BEB" w:rsidP="006901CF">
            <w:pPr>
              <w:tabs>
                <w:tab w:val="left" w:pos="709"/>
              </w:tabs>
              <w:spacing w:before="120"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19882302" w14:textId="77777777" w:rsidR="00195BEB" w:rsidRPr="00B15171" w:rsidRDefault="00195BEB" w:rsidP="006901CF">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16B3B94E" w14:textId="77777777" w:rsidR="00195BEB" w:rsidRPr="00B15171" w:rsidRDefault="00195BEB" w:rsidP="006901CF">
            <w:pPr>
              <w:tabs>
                <w:tab w:val="left" w:pos="709"/>
              </w:tabs>
              <w:spacing w:before="120"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07D893F2" w14:textId="77777777" w:rsidR="00195BEB" w:rsidRPr="00B15171" w:rsidRDefault="00C32E7A"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79,20</w:t>
            </w:r>
          </w:p>
        </w:tc>
      </w:tr>
    </w:tbl>
    <w:p w14:paraId="7B05354A" w14:textId="77777777" w:rsidR="00195BEB" w:rsidRPr="00B15171" w:rsidRDefault="00C32E7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Ires differita</w:t>
      </w:r>
    </w:p>
    <w:p w14:paraId="11DA5A7C" w14:textId="77777777" w:rsidR="00C32E7A" w:rsidRPr="00B15171" w:rsidRDefault="00C32E7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C32E7A" w:rsidRPr="00B15171" w14:paraId="474A69B4" w14:textId="77777777" w:rsidTr="007D3588">
        <w:tc>
          <w:tcPr>
            <w:tcW w:w="3686" w:type="dxa"/>
            <w:tcBorders>
              <w:top w:val="single" w:sz="4" w:space="0" w:color="auto"/>
            </w:tcBorders>
          </w:tcPr>
          <w:p w14:paraId="00CE119B" w14:textId="77777777" w:rsidR="00C32E7A" w:rsidRPr="00B15171" w:rsidRDefault="00C32E7A" w:rsidP="006901CF">
            <w:pPr>
              <w:tabs>
                <w:tab w:val="left" w:pos="709"/>
              </w:tabs>
              <w:spacing w:before="120"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7C861084" w14:textId="77777777" w:rsidR="00C32E7A" w:rsidRPr="00B15171" w:rsidRDefault="00C32E7A" w:rsidP="006901CF">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3E349469" w14:textId="77777777" w:rsidR="00C32E7A" w:rsidRPr="00B15171" w:rsidRDefault="00C32E7A" w:rsidP="006901CF">
            <w:pPr>
              <w:tabs>
                <w:tab w:val="left" w:pos="709"/>
              </w:tabs>
              <w:spacing w:before="120"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022E5A4A" w14:textId="77777777" w:rsidR="00C32E7A" w:rsidRPr="00B15171" w:rsidRDefault="00C32E7A" w:rsidP="006901CF">
            <w:pPr>
              <w:tabs>
                <w:tab w:val="left" w:pos="709"/>
              </w:tabs>
              <w:spacing w:before="120" w:after="200" w:line="360" w:lineRule="auto"/>
              <w:ind w:right="111"/>
              <w:jc w:val="right"/>
              <w:rPr>
                <w:rFonts w:ascii="Tahoma" w:hAnsi="Tahoma" w:cs="Tahoma"/>
                <w:sz w:val="20"/>
                <w:szCs w:val="20"/>
              </w:rPr>
            </w:pPr>
            <w:r w:rsidRPr="00B15171">
              <w:rPr>
                <w:rFonts w:ascii="Tahoma" w:hAnsi="Tahoma" w:cs="Tahoma"/>
                <w:sz w:val="20"/>
                <w:szCs w:val="20"/>
              </w:rPr>
              <w:t>15,91</w:t>
            </w:r>
          </w:p>
        </w:tc>
      </w:tr>
    </w:tbl>
    <w:p w14:paraId="0CC5E74D" w14:textId="77777777" w:rsidR="00C32E7A" w:rsidRPr="00B15171" w:rsidRDefault="00C32E7A"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Irap differita</w:t>
      </w:r>
    </w:p>
    <w:p w14:paraId="09D5FF35" w14:textId="77777777" w:rsidR="00A76F58" w:rsidRPr="00B15171" w:rsidRDefault="00A76F58"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p>
    <w:p w14:paraId="71AC5B5C" w14:textId="427E89E6" w:rsidR="00A92EC7" w:rsidRPr="00B15171" w:rsidRDefault="000C76D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lastRenderedPageBreak/>
        <w:t>Il comma 7-</w:t>
      </w:r>
      <w:r w:rsidRPr="00B15171">
        <w:rPr>
          <w:rFonts w:ascii="Tahoma" w:hAnsi="Tahoma" w:cs="Tahoma"/>
          <w:bCs/>
          <w:i/>
          <w:iCs/>
          <w:sz w:val="20"/>
          <w:szCs w:val="20"/>
          <w:bdr w:val="none" w:sz="0" w:space="0" w:color="auto" w:frame="1"/>
        </w:rPr>
        <w:t>quater</w:t>
      </w:r>
      <w:r w:rsidRPr="00B15171">
        <w:rPr>
          <w:rFonts w:ascii="Tahoma" w:hAnsi="Tahoma" w:cs="Tahoma"/>
          <w:bCs/>
          <w:iCs/>
          <w:sz w:val="20"/>
          <w:szCs w:val="20"/>
          <w:bdr w:val="none" w:sz="0" w:space="0" w:color="auto" w:frame="1"/>
        </w:rPr>
        <w:t xml:space="preserve"> del medesimo articolo stabilisce che in nota integrativa sia dato conto delle ragioni della deroga, nonché dell'iscrizione e del</w:t>
      </w:r>
      <w:r w:rsidR="0027654B" w:rsidRPr="00B15171">
        <w:rPr>
          <w:rFonts w:ascii="Tahoma" w:hAnsi="Tahoma" w:cs="Tahoma"/>
          <w:bCs/>
          <w:iCs/>
          <w:sz w:val="20"/>
          <w:szCs w:val="20"/>
          <w:bdr w:val="none" w:sz="0" w:space="0" w:color="auto" w:frame="1"/>
        </w:rPr>
        <w:t xml:space="preserve">l'importo della corrispondente </w:t>
      </w:r>
      <w:r w:rsidRPr="00B15171">
        <w:rPr>
          <w:rFonts w:ascii="Tahoma" w:hAnsi="Tahoma" w:cs="Tahoma"/>
          <w:bCs/>
          <w:iCs/>
          <w:sz w:val="20"/>
          <w:szCs w:val="20"/>
          <w:bdr w:val="none" w:sz="0" w:space="0" w:color="auto" w:frame="1"/>
        </w:rPr>
        <w:t>riserva indisponibile,</w:t>
      </w:r>
      <w:r w:rsidR="008F3391" w:rsidRPr="00B15171">
        <w:rPr>
          <w:rFonts w:ascii="Tahoma" w:hAnsi="Tahoma" w:cs="Tahoma"/>
          <w:bCs/>
          <w:iCs/>
          <w:sz w:val="20"/>
          <w:szCs w:val="20"/>
          <w:bdr w:val="none" w:sz="0" w:space="0" w:color="auto" w:frame="1"/>
        </w:rPr>
        <w:t xml:space="preserve"> indicandone l'influenza sulla </w:t>
      </w:r>
      <w:r w:rsidRPr="00B15171">
        <w:rPr>
          <w:rFonts w:ascii="Tahoma" w:hAnsi="Tahoma" w:cs="Tahoma"/>
          <w:bCs/>
          <w:iCs/>
          <w:sz w:val="20"/>
          <w:szCs w:val="20"/>
          <w:bdr w:val="none" w:sz="0" w:space="0" w:color="auto" w:frame="1"/>
        </w:rPr>
        <w:t>rappresentazione d</w:t>
      </w:r>
      <w:r w:rsidR="00E15955" w:rsidRPr="00B15171">
        <w:rPr>
          <w:rFonts w:ascii="Tahoma" w:hAnsi="Tahoma" w:cs="Tahoma"/>
          <w:bCs/>
          <w:iCs/>
          <w:sz w:val="20"/>
          <w:szCs w:val="20"/>
          <w:bdr w:val="none" w:sz="0" w:space="0" w:color="auto" w:frame="1"/>
        </w:rPr>
        <w:t xml:space="preserve">ella situazione patrimoniale e </w:t>
      </w:r>
      <w:r w:rsidRPr="00B15171">
        <w:rPr>
          <w:rFonts w:ascii="Tahoma" w:hAnsi="Tahoma" w:cs="Tahoma"/>
          <w:bCs/>
          <w:iCs/>
          <w:sz w:val="20"/>
          <w:szCs w:val="20"/>
          <w:bdr w:val="none" w:sz="0" w:space="0" w:color="auto" w:frame="1"/>
        </w:rPr>
        <w:t>finanziaria e del  risultato  economico dell'esercizio.</w:t>
      </w:r>
    </w:p>
    <w:p w14:paraId="4EA34D0D" w14:textId="43C12655" w:rsidR="000C76DB" w:rsidRDefault="000C76DB"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In caso di utile dell’esercizio superiore all’ammortamento non eseguito (precedente Ipotesi I), l’indicazione in nota integrativa potrebbe essere la seguente</w:t>
      </w:r>
      <w:r w:rsidR="005070B0" w:rsidRPr="00B15171">
        <w:rPr>
          <w:rFonts w:ascii="Tahoma" w:hAnsi="Tahoma" w:cs="Tahoma"/>
          <w:sz w:val="20"/>
          <w:szCs w:val="20"/>
        </w:rPr>
        <w:t>, anche in base a quanto suggerito dall’OIC nel Documento interpretativo su cui subito sotto</w:t>
      </w:r>
      <w:r w:rsidR="00CF2094" w:rsidRPr="00B15171">
        <w:rPr>
          <w:rFonts w:ascii="Tahoma" w:hAnsi="Tahoma" w:cs="Tahoma"/>
          <w:sz w:val="20"/>
          <w:szCs w:val="20"/>
        </w:rPr>
        <w:t>, considerando che del nuovo piano di ammortamento deve essere data contezza nei paragrafi che riguardano le Immobilizzazioni immateriali e materiali</w:t>
      </w:r>
      <w:r w:rsidRPr="00B15171">
        <w:rPr>
          <w:rFonts w:ascii="Tahoma" w:hAnsi="Tahoma" w:cs="Tahoma"/>
          <w:sz w:val="20"/>
          <w:szCs w:val="20"/>
        </w:rPr>
        <w:t>:</w:t>
      </w:r>
    </w:p>
    <w:tbl>
      <w:tblPr>
        <w:tblStyle w:val="Grigliatabella"/>
        <w:tblW w:w="0" w:type="auto"/>
        <w:tblLook w:val="04A0" w:firstRow="1" w:lastRow="0" w:firstColumn="1" w:lastColumn="0" w:noHBand="0" w:noVBand="1"/>
      </w:tblPr>
      <w:tblGrid>
        <w:gridCol w:w="9628"/>
      </w:tblGrid>
      <w:tr w:rsidR="002026C0" w14:paraId="4266AE2C" w14:textId="77777777" w:rsidTr="002026C0">
        <w:tc>
          <w:tcPr>
            <w:tcW w:w="9628" w:type="dxa"/>
          </w:tcPr>
          <w:p w14:paraId="0EAE2635"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
                <w:bCs/>
                <w:sz w:val="20"/>
                <w:szCs w:val="20"/>
              </w:rPr>
            </w:pPr>
            <w:r w:rsidRPr="002026C0">
              <w:rPr>
                <w:rFonts w:ascii="Tahoma" w:hAnsi="Tahoma" w:cs="Tahoma"/>
                <w:b/>
                <w:bCs/>
                <w:sz w:val="20"/>
                <w:szCs w:val="20"/>
              </w:rPr>
              <w:t>Politiche contabili (art. 2427, punto 1, c.c.)</w:t>
            </w:r>
          </w:p>
          <w:p w14:paraId="49FC7307"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
                <w:bCs/>
                <w:sz w:val="20"/>
                <w:szCs w:val="20"/>
              </w:rPr>
            </w:pPr>
            <w:r w:rsidRPr="002026C0">
              <w:rPr>
                <w:rFonts w:ascii="Tahoma" w:hAnsi="Tahoma" w:cs="Tahoma"/>
                <w:b/>
                <w:bCs/>
                <w:sz w:val="20"/>
                <w:szCs w:val="20"/>
              </w:rPr>
              <w:t>Esercizio della deroga ex art. 60, comma 7-bis della L. 126/2020</w:t>
            </w:r>
          </w:p>
          <w:p w14:paraId="74D5C116"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La società si è avvalsa della deroga ex art. 60, comma 7-bis della L. 126/2020.</w:t>
            </w:r>
          </w:p>
          <w:p w14:paraId="475D5843"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i/>
                <w:iCs/>
                <w:sz w:val="20"/>
                <w:szCs w:val="20"/>
              </w:rPr>
            </w:pPr>
            <w:r w:rsidRPr="002026C0">
              <w:rPr>
                <w:rFonts w:ascii="Tahoma" w:hAnsi="Tahoma" w:cs="Tahoma"/>
                <w:i/>
                <w:iCs/>
                <w:sz w:val="20"/>
                <w:szCs w:val="20"/>
              </w:rPr>
              <w:t>- Beni su cui è stata eseguita la deroga</w:t>
            </w:r>
          </w:p>
          <w:p w14:paraId="630FD223"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La società non ha imputato in conto economico gli ammortamenti sulle Spese di sviluppo (200), gli Automezzi (50) e le Macchine Elettroniche d’Ufficio (80), per un totale di 330.</w:t>
            </w:r>
          </w:p>
          <w:p w14:paraId="70FD73B6"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In tal modo nessun ammortamento è stato registrato nel presente esercizio</w:t>
            </w:r>
          </w:p>
          <w:p w14:paraId="464CF5A4"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i/>
                <w:iCs/>
                <w:sz w:val="20"/>
                <w:szCs w:val="20"/>
              </w:rPr>
            </w:pPr>
            <w:r w:rsidRPr="002026C0">
              <w:rPr>
                <w:rFonts w:ascii="Tahoma" w:hAnsi="Tahoma" w:cs="Tahoma"/>
                <w:i/>
                <w:iCs/>
                <w:sz w:val="20"/>
                <w:szCs w:val="20"/>
              </w:rPr>
              <w:t>- Ragioni della deroga</w:t>
            </w:r>
          </w:p>
          <w:p w14:paraId="11787D68"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L’iscrizione degli ammortamenti in conto economico, in un esercizio nel quale la società ha dovuto tenere fermi gli impianti per un paio di mesi, a causa del rilevante incremento del prezzo dell’energia, avrebbe comportato l’emersione di un risultato di esercizio molto più basso di quello degli esercizi precedenti, dovuto ad accadimenti straordinari che si è quindi deciso di mitigare tramite l’esercizio della deroga.</w:t>
            </w:r>
          </w:p>
          <w:p w14:paraId="566FB6AD"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i/>
                <w:iCs/>
                <w:sz w:val="20"/>
                <w:szCs w:val="20"/>
              </w:rPr>
            </w:pPr>
            <w:r w:rsidRPr="002026C0">
              <w:rPr>
                <w:rFonts w:ascii="Tahoma" w:hAnsi="Tahoma" w:cs="Tahoma"/>
                <w:i/>
                <w:iCs/>
                <w:sz w:val="20"/>
                <w:szCs w:val="20"/>
              </w:rPr>
              <w:t xml:space="preserve">- Impatto della deroga in termini economici e patrimoniali </w:t>
            </w:r>
          </w:p>
          <w:p w14:paraId="16BFF805"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Per effetto dell’utilizzo della deroga i piani di ammortamento risultano variati. La vita utile delle Spese di sviluppo e delle Macchine elettroniche d’Ufficio avrà termine nel 2025, mentre la vita utile degli Automezzi avrà termine nel 2024.</w:t>
            </w:r>
          </w:p>
          <w:p w14:paraId="5D9AA43E"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In sede di approvazione del bilancio, come specificato nell’apposito paragrafo della presente Nota integrativa, l’importo di 330 verrà destinato ad una riserva indisponibile denominata “Riserva indisponibile art. 60, comma 7-ter L. 126/2020”, che non potrà essere utilizzata nemmeno per la copertura delle perdite dell’esercizio.</w:t>
            </w:r>
          </w:p>
          <w:p w14:paraId="109BC2DB"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La società ha comunque dedotto gli ammortamenti non eseguiti sia ai fini Ires che ai fini Irap e quindi ha iscritto nel Fondo per imposte differite la somma di 95,11, in relazione agli ammortamenti che verranno eseguiti nell’ultimo anno di vita utile dei beni, anno in cui tali ammortamenti risulteranno indeducibili.</w:t>
            </w:r>
          </w:p>
          <w:p w14:paraId="428F075A"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Il risultato dell’esercizio è un utile di 500, al netto dell’iscrizione delle imposte differite.</w:t>
            </w:r>
          </w:p>
          <w:p w14:paraId="0419DF97"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Qualora la società avesse eseguito gli ammortamenti, il risultato di esercizio sarebbe stato di 265,11, pari al risultato incrementato delle imposte differite e ridotto degli ammortamenti.</w:t>
            </w:r>
          </w:p>
          <w:p w14:paraId="6FA359CD"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Di conseguenza il patrimonio netto della società, per effetto della mancata effettuazione degli ammortamenti è superiore di 234,89 rispetto a quello che sarebbe risultato qualora la società avesse regolarmente eseguito gli ammortamenti.</w:t>
            </w:r>
          </w:p>
          <w:p w14:paraId="05F5D12F" w14:textId="68B90548" w:rsid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L’effetto finanziario si risolve in un risparmio di imposte di 95,11.</w:t>
            </w:r>
          </w:p>
        </w:tc>
      </w:tr>
    </w:tbl>
    <w:p w14:paraId="53E73F80" w14:textId="3446966E" w:rsidR="00FF4B1A" w:rsidRPr="00B15171" w:rsidRDefault="00FF4B1A"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La comunicazione da fornire in nota integrativa diviene, anche in questo ambito, assolutamente centrale, in quanto non saranno certamente rari i casi in cui l’esercizio della deroga sugli ammortamenti consentirà alle società di chiudere l’esercizio in utile, laddove invece avrebbe dovuto chiudere in perdita, o, addirittura, tramite l’esercizio della deroga la società </w:t>
      </w:r>
      <w:r w:rsidR="007D385F" w:rsidRPr="00B15171">
        <w:rPr>
          <w:rFonts w:ascii="Tahoma" w:hAnsi="Tahoma" w:cs="Tahoma"/>
          <w:sz w:val="20"/>
          <w:szCs w:val="20"/>
        </w:rPr>
        <w:t>potrebbe evitare</w:t>
      </w:r>
      <w:r w:rsidRPr="00B15171">
        <w:rPr>
          <w:rFonts w:ascii="Tahoma" w:hAnsi="Tahoma" w:cs="Tahoma"/>
          <w:sz w:val="20"/>
          <w:szCs w:val="20"/>
        </w:rPr>
        <w:t xml:space="preserve"> di ricadere in una delle situazioni previste dall’art. 2446 o 2447 c.c. per le spa, ovvero 2482-</w:t>
      </w:r>
      <w:r w:rsidRPr="00B15171">
        <w:rPr>
          <w:rFonts w:ascii="Tahoma" w:hAnsi="Tahoma" w:cs="Tahoma"/>
          <w:i/>
          <w:sz w:val="20"/>
          <w:szCs w:val="20"/>
        </w:rPr>
        <w:t xml:space="preserve">bis </w:t>
      </w:r>
      <w:r w:rsidRPr="00B15171">
        <w:rPr>
          <w:rFonts w:ascii="Tahoma" w:hAnsi="Tahoma" w:cs="Tahoma"/>
          <w:sz w:val="20"/>
          <w:szCs w:val="20"/>
        </w:rPr>
        <w:t xml:space="preserve"> e 2482-</w:t>
      </w:r>
      <w:r w:rsidRPr="00B15171">
        <w:rPr>
          <w:rFonts w:ascii="Tahoma" w:hAnsi="Tahoma" w:cs="Tahoma"/>
          <w:i/>
          <w:sz w:val="20"/>
          <w:szCs w:val="20"/>
        </w:rPr>
        <w:t xml:space="preserve">ter </w:t>
      </w:r>
      <w:r w:rsidRPr="00B15171">
        <w:rPr>
          <w:rFonts w:ascii="Tahoma" w:hAnsi="Tahoma" w:cs="Tahoma"/>
          <w:sz w:val="20"/>
          <w:szCs w:val="20"/>
        </w:rPr>
        <w:t>c.c. per le srl.</w:t>
      </w:r>
    </w:p>
    <w:p w14:paraId="697BE498" w14:textId="77777777" w:rsidR="00FF4B1A" w:rsidRPr="00B15171" w:rsidRDefault="00FF4B1A" w:rsidP="00B15171">
      <w:pPr>
        <w:spacing w:after="200" w:line="360" w:lineRule="auto"/>
        <w:jc w:val="both"/>
        <w:rPr>
          <w:rFonts w:ascii="Tahoma" w:hAnsi="Tahoma" w:cs="Tahoma"/>
          <w:sz w:val="20"/>
          <w:szCs w:val="20"/>
        </w:rPr>
      </w:pPr>
      <w:r w:rsidRPr="00B15171">
        <w:rPr>
          <w:rFonts w:ascii="Tahoma" w:hAnsi="Tahoma" w:cs="Tahoma"/>
          <w:sz w:val="20"/>
          <w:szCs w:val="20"/>
        </w:rPr>
        <w:t>In tal caso l’informativa da dare è certamente ancora più delicata e deve essere fornita con chiarezza e profondità.</w:t>
      </w:r>
    </w:p>
    <w:p w14:paraId="6D8E2C2A" w14:textId="644F98D8" w:rsidR="00B15171" w:rsidRDefault="00B15171">
      <w:pPr>
        <w:spacing w:after="160" w:line="259" w:lineRule="auto"/>
        <w:rPr>
          <w:rFonts w:ascii="Tahoma" w:hAnsi="Tahoma" w:cs="Tahoma"/>
          <w:b/>
          <w:sz w:val="20"/>
          <w:szCs w:val="20"/>
        </w:rPr>
      </w:pPr>
    </w:p>
    <w:p w14:paraId="19559A0E" w14:textId="76104915" w:rsidR="008F3C03" w:rsidRPr="00B15171" w:rsidRDefault="00A8032F" w:rsidP="00B15171">
      <w:pPr>
        <w:pStyle w:val="Titolo2"/>
      </w:pPr>
      <w:bookmarkStart w:id="14" w:name="_Toc161309100"/>
      <w:r>
        <w:t>4</w:t>
      </w:r>
      <w:r w:rsidR="008F3C03" w:rsidRPr="00B15171">
        <w:t>.2 Il documento interpretativo dell’OIC</w:t>
      </w:r>
      <w:bookmarkEnd w:id="14"/>
    </w:p>
    <w:p w14:paraId="0403BA85" w14:textId="77777777" w:rsidR="008F3C03" w:rsidRPr="00B15171" w:rsidRDefault="008F3C03" w:rsidP="00B15171">
      <w:pPr>
        <w:spacing w:after="200" w:line="360" w:lineRule="auto"/>
        <w:jc w:val="both"/>
        <w:rPr>
          <w:rFonts w:ascii="Tahoma" w:hAnsi="Tahoma" w:cs="Tahoma"/>
          <w:sz w:val="20"/>
          <w:szCs w:val="20"/>
        </w:rPr>
      </w:pPr>
      <w:r w:rsidRPr="00B15171">
        <w:rPr>
          <w:rFonts w:ascii="Tahoma" w:hAnsi="Tahoma" w:cs="Tahoma"/>
          <w:sz w:val="20"/>
          <w:szCs w:val="20"/>
        </w:rPr>
        <w:t xml:space="preserve">Anche sulla sospensione degli ammortamenti l’OIC ha emesso un </w:t>
      </w:r>
      <w:r w:rsidRPr="00B15171">
        <w:rPr>
          <w:rFonts w:ascii="Tahoma" w:hAnsi="Tahoma" w:cs="Tahoma"/>
          <w:b/>
          <w:sz w:val="20"/>
          <w:szCs w:val="20"/>
        </w:rPr>
        <w:t>documento interpretativo, il n. 9</w:t>
      </w:r>
      <w:r w:rsidRPr="00B15171">
        <w:rPr>
          <w:rFonts w:ascii="Tahoma" w:hAnsi="Tahoma" w:cs="Tahoma"/>
          <w:sz w:val="20"/>
          <w:szCs w:val="20"/>
        </w:rPr>
        <w:t>.</w:t>
      </w:r>
    </w:p>
    <w:p w14:paraId="1E1732F8" w14:textId="77777777" w:rsidR="008F3C03" w:rsidRPr="00B15171" w:rsidRDefault="008F3C03" w:rsidP="00B15171">
      <w:pPr>
        <w:spacing w:after="200" w:line="360" w:lineRule="auto"/>
        <w:jc w:val="both"/>
        <w:rPr>
          <w:rFonts w:ascii="Tahoma" w:hAnsi="Tahoma" w:cs="Tahoma"/>
          <w:i/>
          <w:sz w:val="20"/>
          <w:szCs w:val="20"/>
        </w:rPr>
      </w:pPr>
      <w:r w:rsidRPr="00B15171">
        <w:rPr>
          <w:rFonts w:ascii="Tahoma" w:hAnsi="Tahoma" w:cs="Tahoma"/>
          <w:sz w:val="20"/>
          <w:szCs w:val="20"/>
        </w:rPr>
        <w:t>L’OIC innanzitutto specifica come la disciplina costituisca una facoltà di deroga al disposto dell’art. 2426, primo comma, n. 2 c.c., laddove prevede che “</w:t>
      </w:r>
      <w:r w:rsidRPr="00B15171">
        <w:rPr>
          <w:rFonts w:ascii="Tahoma" w:hAnsi="Tahoma" w:cs="Tahoma"/>
          <w:i/>
          <w:sz w:val="20"/>
          <w:szCs w:val="20"/>
        </w:rPr>
        <w:t>il costo delle immobilizzazioni, materiali ed immateriali, la cui utilizzazione è limitata nel tempo deve essere sistematicamente ammortizzato in relazione con la loro residua possibilità di utilizzazione”.</w:t>
      </w:r>
    </w:p>
    <w:p w14:paraId="7B0B25D6" w14:textId="422ABD0C" w:rsidR="00F50AF1" w:rsidRPr="00B15171" w:rsidRDefault="00F50AF1" w:rsidP="00B15171">
      <w:pPr>
        <w:spacing w:after="200" w:line="360" w:lineRule="auto"/>
        <w:jc w:val="both"/>
        <w:rPr>
          <w:rFonts w:ascii="Tahoma" w:hAnsi="Tahoma" w:cs="Tahoma"/>
          <w:sz w:val="20"/>
          <w:szCs w:val="20"/>
        </w:rPr>
      </w:pPr>
      <w:r w:rsidRPr="00B15171">
        <w:rPr>
          <w:rFonts w:ascii="Tahoma" w:hAnsi="Tahoma" w:cs="Tahoma"/>
          <w:sz w:val="20"/>
          <w:szCs w:val="20"/>
        </w:rPr>
        <w:t xml:space="preserve">Oggetto della deroga sono tutti i beni esistenti </w:t>
      </w:r>
      <w:r w:rsidR="00C34709" w:rsidRPr="00B15171">
        <w:rPr>
          <w:rFonts w:ascii="Tahoma" w:hAnsi="Tahoma" w:cs="Tahoma"/>
          <w:sz w:val="20"/>
          <w:szCs w:val="20"/>
        </w:rPr>
        <w:t>in bilancio</w:t>
      </w:r>
      <w:r w:rsidRPr="00B15171">
        <w:rPr>
          <w:rFonts w:ascii="Tahoma" w:hAnsi="Tahoma" w:cs="Tahoma"/>
          <w:sz w:val="20"/>
          <w:szCs w:val="20"/>
        </w:rPr>
        <w:t xml:space="preserve"> e quindi anche quelli acquistati nell’esercizio</w:t>
      </w:r>
      <w:r w:rsidR="002A7D60" w:rsidRPr="00B15171">
        <w:rPr>
          <w:rFonts w:ascii="Tahoma" w:hAnsi="Tahoma" w:cs="Tahoma"/>
          <w:sz w:val="20"/>
          <w:szCs w:val="20"/>
        </w:rPr>
        <w:t>,</w:t>
      </w:r>
      <w:r w:rsidRPr="00B15171">
        <w:rPr>
          <w:rFonts w:ascii="Tahoma" w:hAnsi="Tahoma" w:cs="Tahoma"/>
          <w:sz w:val="20"/>
          <w:szCs w:val="20"/>
        </w:rPr>
        <w:t xml:space="preserve"> ai quali </w:t>
      </w:r>
      <w:r w:rsidR="007D385F" w:rsidRPr="00B15171">
        <w:rPr>
          <w:rFonts w:ascii="Tahoma" w:hAnsi="Tahoma" w:cs="Tahoma"/>
          <w:sz w:val="20"/>
          <w:szCs w:val="20"/>
        </w:rPr>
        <w:t>avrebbe potuto</w:t>
      </w:r>
      <w:r w:rsidRPr="00B15171">
        <w:rPr>
          <w:rFonts w:ascii="Tahoma" w:hAnsi="Tahoma" w:cs="Tahoma"/>
          <w:sz w:val="20"/>
          <w:szCs w:val="20"/>
        </w:rPr>
        <w:t xml:space="preserve"> essere ragionevolmente applicata l</w:t>
      </w:r>
      <w:r w:rsidR="00765E06" w:rsidRPr="00B15171">
        <w:rPr>
          <w:rFonts w:ascii="Tahoma" w:hAnsi="Tahoma" w:cs="Tahoma"/>
          <w:sz w:val="20"/>
          <w:szCs w:val="20"/>
        </w:rPr>
        <w:t>’</w:t>
      </w:r>
      <w:r w:rsidRPr="00B15171">
        <w:rPr>
          <w:rFonts w:ascii="Tahoma" w:hAnsi="Tahoma" w:cs="Tahoma"/>
          <w:sz w:val="20"/>
          <w:szCs w:val="20"/>
        </w:rPr>
        <w:t>aliquota</w:t>
      </w:r>
      <w:r w:rsidR="00765E06" w:rsidRPr="00B15171">
        <w:rPr>
          <w:rFonts w:ascii="Tahoma" w:hAnsi="Tahoma" w:cs="Tahoma"/>
          <w:sz w:val="20"/>
          <w:szCs w:val="20"/>
        </w:rPr>
        <w:t xml:space="preserve"> in misura</w:t>
      </w:r>
      <w:r w:rsidRPr="00B15171">
        <w:rPr>
          <w:rFonts w:ascii="Tahoma" w:hAnsi="Tahoma" w:cs="Tahoma"/>
          <w:sz w:val="20"/>
          <w:szCs w:val="20"/>
        </w:rPr>
        <w:t xml:space="preserve"> dimezzata.</w:t>
      </w:r>
    </w:p>
    <w:p w14:paraId="75B78976" w14:textId="77777777" w:rsidR="00F50AF1" w:rsidRPr="00B15171" w:rsidRDefault="00F50AF1" w:rsidP="00B15171">
      <w:pPr>
        <w:spacing w:after="200" w:line="360" w:lineRule="auto"/>
        <w:jc w:val="both"/>
        <w:rPr>
          <w:rFonts w:ascii="Tahoma" w:hAnsi="Tahoma" w:cs="Tahoma"/>
          <w:sz w:val="20"/>
          <w:szCs w:val="20"/>
        </w:rPr>
      </w:pPr>
      <w:r w:rsidRPr="00B15171">
        <w:rPr>
          <w:rFonts w:ascii="Tahoma" w:hAnsi="Tahoma" w:cs="Tahoma"/>
          <w:sz w:val="20"/>
          <w:szCs w:val="20"/>
        </w:rPr>
        <w:t>Il documento interpretativo evidenzia poi come la norma non individui a quale livello di immobilizzazione la deroga vada applicata, così che conclude che essa può essere applicata a singoli beni materiali o immateriali, a gruppi di immobilizzazioni oppure all’intera voce di bilancio.</w:t>
      </w:r>
    </w:p>
    <w:p w14:paraId="1D21647D" w14:textId="77777777" w:rsidR="00F50AF1" w:rsidRPr="00B15171" w:rsidRDefault="00F50AF1" w:rsidP="00B15171">
      <w:pPr>
        <w:spacing w:after="200" w:line="360" w:lineRule="auto"/>
        <w:jc w:val="both"/>
        <w:rPr>
          <w:rFonts w:ascii="Tahoma" w:hAnsi="Tahoma" w:cs="Tahoma"/>
          <w:sz w:val="20"/>
          <w:szCs w:val="20"/>
        </w:rPr>
      </w:pPr>
      <w:r w:rsidRPr="00B15171">
        <w:rPr>
          <w:rFonts w:ascii="Tahoma" w:hAnsi="Tahoma" w:cs="Tahoma"/>
          <w:sz w:val="20"/>
          <w:szCs w:val="20"/>
        </w:rPr>
        <w:t>La scelta in merito al livello al quale applicare la deroga deve semplicemente essere coerente con le ragioni che hanno indotto la società a non operare gli ammortamenti.</w:t>
      </w:r>
    </w:p>
    <w:p w14:paraId="2518C330" w14:textId="77777777" w:rsidR="00BB646E" w:rsidRPr="00B15171" w:rsidRDefault="00BB646E" w:rsidP="00B15171">
      <w:pPr>
        <w:spacing w:after="200" w:line="360" w:lineRule="auto"/>
        <w:jc w:val="both"/>
        <w:rPr>
          <w:rFonts w:ascii="Tahoma" w:hAnsi="Tahoma" w:cs="Tahoma"/>
          <w:sz w:val="20"/>
          <w:szCs w:val="20"/>
        </w:rPr>
      </w:pPr>
      <w:r w:rsidRPr="00B15171">
        <w:rPr>
          <w:rFonts w:ascii="Tahoma" w:hAnsi="Tahoma" w:cs="Tahoma"/>
          <w:sz w:val="20"/>
          <w:szCs w:val="20"/>
        </w:rPr>
        <w:t xml:space="preserve">Per quel che riguarda l’informativa da fornire in nota integrativa all’interno delle politiche contabili, secondo l’OIC la società </w:t>
      </w:r>
      <w:r w:rsidR="007D385F" w:rsidRPr="00B15171">
        <w:rPr>
          <w:rFonts w:ascii="Tahoma" w:hAnsi="Tahoma" w:cs="Tahoma"/>
          <w:sz w:val="20"/>
          <w:szCs w:val="20"/>
        </w:rPr>
        <w:t>deve indicare</w:t>
      </w:r>
      <w:r w:rsidRPr="00B15171">
        <w:rPr>
          <w:rFonts w:ascii="Tahoma" w:hAnsi="Tahoma" w:cs="Tahoma"/>
          <w:sz w:val="20"/>
          <w:szCs w:val="20"/>
        </w:rPr>
        <w:t>:</w:t>
      </w:r>
    </w:p>
    <w:p w14:paraId="4204CF9F" w14:textId="15727216" w:rsidR="00BB646E" w:rsidRPr="00B15171" w:rsidRDefault="00BB646E">
      <w:pPr>
        <w:pStyle w:val="Paragrafoelenco"/>
        <w:numPr>
          <w:ilvl w:val="2"/>
          <w:numId w:val="5"/>
        </w:numPr>
        <w:spacing w:after="200" w:line="360" w:lineRule="auto"/>
        <w:ind w:left="709"/>
        <w:jc w:val="both"/>
        <w:rPr>
          <w:rFonts w:ascii="Tahoma" w:hAnsi="Tahoma" w:cs="Tahoma"/>
          <w:sz w:val="20"/>
          <w:szCs w:val="20"/>
        </w:rPr>
      </w:pPr>
      <w:r w:rsidRPr="00B15171">
        <w:rPr>
          <w:rFonts w:ascii="Tahoma" w:hAnsi="Tahoma" w:cs="Tahoma"/>
          <w:sz w:val="20"/>
          <w:szCs w:val="20"/>
        </w:rPr>
        <w:t>su quali immobilizzazioni ed in che misura non sono stati effettuati gli ammortamenti;</w:t>
      </w:r>
    </w:p>
    <w:p w14:paraId="4D9DCFAB" w14:textId="3A6E4E76" w:rsidR="00BB646E" w:rsidRPr="00B15171" w:rsidRDefault="00BB646E">
      <w:pPr>
        <w:pStyle w:val="Paragrafoelenco"/>
        <w:numPr>
          <w:ilvl w:val="2"/>
          <w:numId w:val="5"/>
        </w:numPr>
        <w:spacing w:after="200" w:line="360" w:lineRule="auto"/>
        <w:ind w:left="709"/>
        <w:jc w:val="both"/>
        <w:rPr>
          <w:rFonts w:ascii="Tahoma" w:hAnsi="Tahoma" w:cs="Tahoma"/>
          <w:sz w:val="20"/>
          <w:szCs w:val="20"/>
        </w:rPr>
      </w:pPr>
      <w:r w:rsidRPr="00B15171">
        <w:rPr>
          <w:rFonts w:ascii="Tahoma" w:hAnsi="Tahoma" w:cs="Tahoma"/>
          <w:sz w:val="20"/>
          <w:szCs w:val="20"/>
        </w:rPr>
        <w:t>le ragioni che hanno indotto la società ad avvalersi della deroga;</w:t>
      </w:r>
    </w:p>
    <w:p w14:paraId="3A34A2D8" w14:textId="67DA5B05" w:rsidR="00BB646E" w:rsidRPr="00B15171" w:rsidRDefault="00BB646E">
      <w:pPr>
        <w:pStyle w:val="Paragrafoelenco"/>
        <w:numPr>
          <w:ilvl w:val="2"/>
          <w:numId w:val="5"/>
        </w:numPr>
        <w:spacing w:after="200" w:line="360" w:lineRule="auto"/>
        <w:ind w:left="709"/>
        <w:jc w:val="both"/>
        <w:rPr>
          <w:rFonts w:ascii="Tahoma" w:hAnsi="Tahoma" w:cs="Tahoma"/>
          <w:sz w:val="20"/>
          <w:szCs w:val="20"/>
        </w:rPr>
      </w:pPr>
      <w:r w:rsidRPr="00B15171">
        <w:rPr>
          <w:rFonts w:ascii="Tahoma" w:hAnsi="Tahoma" w:cs="Tahoma"/>
          <w:sz w:val="20"/>
          <w:szCs w:val="20"/>
        </w:rPr>
        <w:t>l’impatto della deroga in termini patrimoniali ed economici.</w:t>
      </w:r>
    </w:p>
    <w:p w14:paraId="10581C80" w14:textId="77777777" w:rsidR="00BB646E" w:rsidRPr="00B15171" w:rsidRDefault="00BB646E" w:rsidP="00B15171">
      <w:pPr>
        <w:spacing w:after="200" w:line="360" w:lineRule="auto"/>
        <w:jc w:val="both"/>
        <w:rPr>
          <w:rFonts w:ascii="Tahoma" w:hAnsi="Tahoma" w:cs="Tahoma"/>
          <w:sz w:val="20"/>
          <w:szCs w:val="20"/>
        </w:rPr>
      </w:pPr>
    </w:p>
    <w:p w14:paraId="7DA42FC7" w14:textId="03BB1033" w:rsidR="007B7F9F" w:rsidRPr="00B15171" w:rsidRDefault="00A8032F" w:rsidP="00B15171">
      <w:pPr>
        <w:pStyle w:val="Titolo2"/>
      </w:pPr>
      <w:bookmarkStart w:id="15" w:name="_Toc161309101"/>
      <w:r>
        <w:t>4</w:t>
      </w:r>
      <w:r w:rsidR="007B7F9F" w:rsidRPr="00B15171">
        <w:t xml:space="preserve">.3 La deroga sugli ammortamenti </w:t>
      </w:r>
      <w:r w:rsidR="00C34709" w:rsidRPr="00B15171">
        <w:t>in più esercizi</w:t>
      </w:r>
      <w:bookmarkEnd w:id="15"/>
    </w:p>
    <w:p w14:paraId="10F10DD7" w14:textId="6BDBB668" w:rsidR="00B038BD" w:rsidRPr="00B15171" w:rsidRDefault="00C34709" w:rsidP="00B15171">
      <w:pPr>
        <w:spacing w:after="200" w:line="360" w:lineRule="auto"/>
        <w:jc w:val="both"/>
        <w:rPr>
          <w:rFonts w:ascii="Tahoma" w:hAnsi="Tahoma" w:cs="Tahoma"/>
          <w:bCs/>
          <w:sz w:val="20"/>
          <w:szCs w:val="20"/>
        </w:rPr>
      </w:pPr>
      <w:r w:rsidRPr="00B15171">
        <w:rPr>
          <w:rFonts w:ascii="Tahoma" w:hAnsi="Tahoma" w:cs="Tahoma"/>
          <w:bCs/>
          <w:sz w:val="20"/>
          <w:szCs w:val="20"/>
        </w:rPr>
        <w:t>Come già specificato, la disciplina relativa alla sospensione degli ammortamenti, stante la straordinarietà degli ultimi esercizi, è arrivata, con il 202</w:t>
      </w:r>
      <w:r w:rsidR="00E761CB">
        <w:rPr>
          <w:rFonts w:ascii="Tahoma" w:hAnsi="Tahoma" w:cs="Tahoma"/>
          <w:bCs/>
          <w:sz w:val="20"/>
          <w:szCs w:val="20"/>
        </w:rPr>
        <w:t>3</w:t>
      </w:r>
      <w:r w:rsidRPr="00B15171">
        <w:rPr>
          <w:rFonts w:ascii="Tahoma" w:hAnsi="Tahoma" w:cs="Tahoma"/>
          <w:bCs/>
          <w:sz w:val="20"/>
          <w:szCs w:val="20"/>
        </w:rPr>
        <w:t xml:space="preserve">, al </w:t>
      </w:r>
      <w:r w:rsidR="00E761CB">
        <w:rPr>
          <w:rFonts w:ascii="Tahoma" w:hAnsi="Tahoma" w:cs="Tahoma"/>
          <w:bCs/>
          <w:sz w:val="20"/>
          <w:szCs w:val="20"/>
        </w:rPr>
        <w:t xml:space="preserve">quarto </w:t>
      </w:r>
      <w:r w:rsidRPr="00B15171">
        <w:rPr>
          <w:rFonts w:ascii="Tahoma" w:hAnsi="Tahoma" w:cs="Tahoma"/>
          <w:bCs/>
          <w:sz w:val="20"/>
          <w:szCs w:val="20"/>
        </w:rPr>
        <w:t>esercizio di applicazione</w:t>
      </w:r>
      <w:r w:rsidR="007E2571" w:rsidRPr="00B15171">
        <w:rPr>
          <w:rFonts w:ascii="Tahoma" w:hAnsi="Tahoma" w:cs="Tahoma"/>
          <w:bCs/>
          <w:sz w:val="20"/>
          <w:szCs w:val="20"/>
        </w:rPr>
        <w:t>.</w:t>
      </w:r>
    </w:p>
    <w:p w14:paraId="19ED426E" w14:textId="5237F289" w:rsidR="002A7D60" w:rsidRPr="00B15171" w:rsidRDefault="002A7D60" w:rsidP="00B15171">
      <w:pPr>
        <w:spacing w:after="200" w:line="360" w:lineRule="auto"/>
        <w:jc w:val="both"/>
        <w:rPr>
          <w:rFonts w:ascii="Tahoma" w:hAnsi="Tahoma" w:cs="Tahoma"/>
          <w:bCs/>
          <w:sz w:val="20"/>
          <w:szCs w:val="20"/>
        </w:rPr>
      </w:pPr>
      <w:r w:rsidRPr="00B15171">
        <w:rPr>
          <w:rFonts w:ascii="Tahoma" w:hAnsi="Tahoma" w:cs="Tahoma"/>
          <w:bCs/>
          <w:sz w:val="20"/>
          <w:szCs w:val="20"/>
        </w:rPr>
        <w:lastRenderedPageBreak/>
        <w:t>Restano inoltre fermi gli obblighi di destinazione a riserva indisponibile dell’ammontare degli ammortamenti non eseguiti e di informativa in nota integrativa.</w:t>
      </w:r>
    </w:p>
    <w:p w14:paraId="25E65AAF" w14:textId="574F4E2A" w:rsidR="004165D0" w:rsidRDefault="002A7D60" w:rsidP="00B15171">
      <w:pPr>
        <w:spacing w:after="200" w:line="360" w:lineRule="auto"/>
        <w:jc w:val="both"/>
        <w:rPr>
          <w:rFonts w:ascii="Tahoma" w:hAnsi="Tahoma" w:cs="Tahoma"/>
          <w:bCs/>
          <w:sz w:val="20"/>
          <w:szCs w:val="20"/>
        </w:rPr>
      </w:pPr>
      <w:r w:rsidRPr="00B15171">
        <w:rPr>
          <w:rFonts w:ascii="Tahoma" w:hAnsi="Tahoma" w:cs="Tahoma"/>
          <w:bCs/>
          <w:sz w:val="20"/>
          <w:szCs w:val="20"/>
        </w:rPr>
        <w:t>Quindi:</w:t>
      </w:r>
    </w:p>
    <w:tbl>
      <w:tblPr>
        <w:tblStyle w:val="Grigliatabella"/>
        <w:tblW w:w="0" w:type="auto"/>
        <w:tblLook w:val="04A0" w:firstRow="1" w:lastRow="0" w:firstColumn="1" w:lastColumn="0" w:noHBand="0" w:noVBand="1"/>
      </w:tblPr>
      <w:tblGrid>
        <w:gridCol w:w="9628"/>
      </w:tblGrid>
      <w:tr w:rsidR="00B15171" w14:paraId="1F733850" w14:textId="77777777" w:rsidTr="00B15171">
        <w:tc>
          <w:tcPr>
            <w:tcW w:w="9628" w:type="dxa"/>
          </w:tcPr>
          <w:p w14:paraId="3FB297EE" w14:textId="66F1A5E5" w:rsidR="00B15171" w:rsidRDefault="00B15171" w:rsidP="002026C0">
            <w:pPr>
              <w:spacing w:before="60" w:after="60" w:line="326" w:lineRule="auto"/>
              <w:jc w:val="both"/>
              <w:rPr>
                <w:rFonts w:ascii="Tahoma" w:hAnsi="Tahoma" w:cs="Tahoma"/>
                <w:bCs/>
                <w:sz w:val="20"/>
                <w:szCs w:val="20"/>
              </w:rPr>
            </w:pPr>
            <w:r>
              <w:rPr>
                <w:rFonts w:ascii="Tahoma" w:hAnsi="Tahoma" w:cs="Tahoma"/>
                <w:bCs/>
                <w:sz w:val="20"/>
                <w:szCs w:val="20"/>
              </w:rPr>
              <w:t>ANNO 202</w:t>
            </w:r>
            <w:r w:rsidR="00E761CB">
              <w:rPr>
                <w:rFonts w:ascii="Tahoma" w:hAnsi="Tahoma" w:cs="Tahoma"/>
                <w:bCs/>
                <w:sz w:val="20"/>
                <w:szCs w:val="20"/>
              </w:rPr>
              <w:t>3</w:t>
            </w:r>
          </w:p>
          <w:p w14:paraId="6817FE75" w14:textId="210F6E8C" w:rsidR="00B15171" w:rsidRPr="00B15171" w:rsidRDefault="00B15171" w:rsidP="002026C0">
            <w:pPr>
              <w:pStyle w:val="Paragrafoelenco"/>
              <w:numPr>
                <w:ilvl w:val="0"/>
                <w:numId w:val="11"/>
              </w:numPr>
              <w:spacing w:before="60" w:after="60" w:line="326" w:lineRule="auto"/>
              <w:jc w:val="both"/>
              <w:rPr>
                <w:rFonts w:ascii="Tahoma" w:hAnsi="Tahoma" w:cs="Tahoma"/>
                <w:bCs/>
                <w:sz w:val="20"/>
                <w:szCs w:val="20"/>
              </w:rPr>
            </w:pPr>
            <w:r w:rsidRPr="00B15171">
              <w:rPr>
                <w:rFonts w:ascii="Tahoma" w:hAnsi="Tahoma" w:cs="Tahoma"/>
                <w:bCs/>
                <w:sz w:val="20"/>
                <w:szCs w:val="20"/>
              </w:rPr>
              <w:t>Soggetti a cui spetta la facoltà di deroga: solo soggetti OIC</w:t>
            </w:r>
          </w:p>
          <w:p w14:paraId="7B89ACFC" w14:textId="6648B1B1" w:rsidR="00B15171" w:rsidRPr="00B15171" w:rsidRDefault="00B15171" w:rsidP="002026C0">
            <w:pPr>
              <w:pStyle w:val="Paragrafoelenco"/>
              <w:numPr>
                <w:ilvl w:val="0"/>
                <w:numId w:val="11"/>
              </w:numPr>
              <w:spacing w:before="60" w:after="60" w:line="326" w:lineRule="auto"/>
              <w:jc w:val="both"/>
              <w:rPr>
                <w:rFonts w:ascii="Tahoma" w:hAnsi="Tahoma" w:cs="Tahoma"/>
                <w:bCs/>
                <w:sz w:val="20"/>
                <w:szCs w:val="20"/>
              </w:rPr>
            </w:pPr>
            <w:r w:rsidRPr="00B15171">
              <w:rPr>
                <w:rFonts w:ascii="Tahoma" w:hAnsi="Tahoma" w:cs="Tahoma"/>
                <w:bCs/>
                <w:sz w:val="20"/>
                <w:szCs w:val="20"/>
              </w:rPr>
              <w:t>Misura della non effettuazione degli ammortamenti: qualsiasi, a scelta dell’azienda (quindi da 0 al 100%)</w:t>
            </w:r>
          </w:p>
          <w:p w14:paraId="6BBE419F" w14:textId="5F76349B" w:rsidR="00B15171" w:rsidRPr="00B15171" w:rsidRDefault="00B15171" w:rsidP="002026C0">
            <w:pPr>
              <w:pStyle w:val="Paragrafoelenco"/>
              <w:numPr>
                <w:ilvl w:val="0"/>
                <w:numId w:val="11"/>
              </w:numPr>
              <w:spacing w:before="60" w:after="60" w:line="326" w:lineRule="auto"/>
              <w:jc w:val="both"/>
              <w:rPr>
                <w:rFonts w:ascii="Tahoma" w:hAnsi="Tahoma" w:cs="Tahoma"/>
                <w:bCs/>
                <w:sz w:val="20"/>
                <w:szCs w:val="20"/>
              </w:rPr>
            </w:pPr>
            <w:r w:rsidRPr="00B15171">
              <w:rPr>
                <w:rFonts w:ascii="Tahoma" w:hAnsi="Tahoma" w:cs="Tahoma"/>
                <w:bCs/>
                <w:sz w:val="20"/>
                <w:szCs w:val="20"/>
              </w:rPr>
              <w:t xml:space="preserve">Ammortamenti non effettuati </w:t>
            </w:r>
            <w:r w:rsidRPr="006901CF">
              <w:rPr>
                <w:sz w:val="20"/>
                <w:szCs w:val="20"/>
              </w:rPr>
              <w:sym w:font="Wingdings" w:char="F0E0"/>
            </w:r>
            <w:r w:rsidRPr="00B15171">
              <w:rPr>
                <w:rFonts w:ascii="Tahoma" w:hAnsi="Tahoma" w:cs="Tahoma"/>
                <w:bCs/>
                <w:sz w:val="20"/>
                <w:szCs w:val="20"/>
              </w:rPr>
              <w:t xml:space="preserve"> imputati al conto economico dell’esercizio successivo all’ultimo del piano di ammortamento risultante dopo la deroga del 2020</w:t>
            </w:r>
            <w:r w:rsidR="00E761CB">
              <w:rPr>
                <w:rFonts w:ascii="Tahoma" w:hAnsi="Tahoma" w:cs="Tahoma"/>
                <w:bCs/>
                <w:sz w:val="20"/>
                <w:szCs w:val="20"/>
              </w:rPr>
              <w:t>, del 2021</w:t>
            </w:r>
            <w:r w:rsidRPr="00B15171">
              <w:rPr>
                <w:rFonts w:ascii="Tahoma" w:hAnsi="Tahoma" w:cs="Tahoma"/>
                <w:bCs/>
                <w:sz w:val="20"/>
                <w:szCs w:val="20"/>
              </w:rPr>
              <w:t xml:space="preserve"> e del 202</w:t>
            </w:r>
            <w:r w:rsidR="00E761CB">
              <w:rPr>
                <w:rFonts w:ascii="Tahoma" w:hAnsi="Tahoma" w:cs="Tahoma"/>
                <w:bCs/>
                <w:sz w:val="20"/>
                <w:szCs w:val="20"/>
              </w:rPr>
              <w:t>2</w:t>
            </w:r>
          </w:p>
          <w:p w14:paraId="7CE8572F" w14:textId="3878D9AC" w:rsidR="00B15171" w:rsidRPr="00B15171" w:rsidRDefault="00B15171" w:rsidP="002026C0">
            <w:pPr>
              <w:pStyle w:val="Paragrafoelenco"/>
              <w:numPr>
                <w:ilvl w:val="0"/>
                <w:numId w:val="11"/>
              </w:numPr>
              <w:spacing w:before="60" w:after="60" w:line="326" w:lineRule="auto"/>
              <w:jc w:val="both"/>
              <w:rPr>
                <w:rFonts w:ascii="Tahoma" w:hAnsi="Tahoma" w:cs="Tahoma"/>
                <w:bCs/>
                <w:sz w:val="20"/>
                <w:szCs w:val="20"/>
              </w:rPr>
            </w:pPr>
            <w:r w:rsidRPr="00B15171">
              <w:rPr>
                <w:rFonts w:ascii="Tahoma" w:hAnsi="Tahoma" w:cs="Tahoma"/>
                <w:bCs/>
                <w:sz w:val="20"/>
                <w:szCs w:val="20"/>
              </w:rPr>
              <w:t>Destinazione a riserva indisponibile di un importo pari agli ammortamenti non eseguiti</w:t>
            </w:r>
          </w:p>
          <w:p w14:paraId="7865B1F6" w14:textId="2A29A0A1" w:rsidR="00B15171" w:rsidRPr="00B15171" w:rsidRDefault="00B15171" w:rsidP="002026C0">
            <w:pPr>
              <w:pStyle w:val="Paragrafoelenco"/>
              <w:numPr>
                <w:ilvl w:val="0"/>
                <w:numId w:val="11"/>
              </w:numPr>
              <w:spacing w:before="60" w:after="60" w:line="326" w:lineRule="auto"/>
              <w:jc w:val="both"/>
              <w:rPr>
                <w:rFonts w:ascii="Tahoma" w:hAnsi="Tahoma" w:cs="Tahoma"/>
                <w:bCs/>
                <w:sz w:val="20"/>
                <w:szCs w:val="20"/>
              </w:rPr>
            </w:pPr>
            <w:r w:rsidRPr="00B15171">
              <w:rPr>
                <w:rFonts w:ascii="Tahoma" w:hAnsi="Tahoma" w:cs="Tahoma"/>
                <w:bCs/>
                <w:sz w:val="20"/>
                <w:szCs w:val="20"/>
              </w:rPr>
              <w:t xml:space="preserve">In nota integrativa </w:t>
            </w:r>
            <w:r w:rsidRPr="006901CF">
              <w:rPr>
                <w:sz w:val="20"/>
                <w:szCs w:val="20"/>
              </w:rPr>
              <w:sym w:font="Wingdings" w:char="F0E0"/>
            </w:r>
            <w:r w:rsidRPr="00B15171">
              <w:rPr>
                <w:rFonts w:ascii="Tahoma" w:hAnsi="Tahoma" w:cs="Tahoma"/>
                <w:bCs/>
                <w:sz w:val="20"/>
                <w:szCs w:val="20"/>
              </w:rPr>
              <w:t xml:space="preserve"> le ragioni della deroga, dell’iscrizione e dell’importo della riserva indisponibile, dell’influenza sulla situazione patrimoniale e finanziaria e sul risultato di esercizio</w:t>
            </w:r>
          </w:p>
          <w:p w14:paraId="03744B23" w14:textId="25A1B1AC" w:rsidR="00B15171" w:rsidRPr="00B15171" w:rsidRDefault="00B15171" w:rsidP="002026C0">
            <w:pPr>
              <w:pStyle w:val="Paragrafoelenco"/>
              <w:numPr>
                <w:ilvl w:val="0"/>
                <w:numId w:val="11"/>
              </w:numPr>
              <w:spacing w:before="60" w:after="60" w:line="326" w:lineRule="auto"/>
              <w:jc w:val="both"/>
              <w:rPr>
                <w:rFonts w:ascii="Tahoma" w:hAnsi="Tahoma" w:cs="Tahoma"/>
                <w:bCs/>
                <w:sz w:val="20"/>
                <w:szCs w:val="20"/>
              </w:rPr>
            </w:pPr>
            <w:r w:rsidRPr="00B15171">
              <w:rPr>
                <w:rFonts w:ascii="Tahoma" w:hAnsi="Tahoma" w:cs="Tahoma"/>
                <w:bCs/>
                <w:sz w:val="20"/>
                <w:szCs w:val="20"/>
              </w:rPr>
              <w:t>Facoltà di deduzione in dichiarazione dei redditi degli ammortamenti non eseguiti</w:t>
            </w:r>
          </w:p>
        </w:tc>
      </w:tr>
    </w:tbl>
    <w:p w14:paraId="506AA3EF" w14:textId="261FEE67" w:rsidR="002A7D60" w:rsidRPr="00B15171" w:rsidRDefault="002A7D60" w:rsidP="00B15171">
      <w:pPr>
        <w:spacing w:after="200" w:line="360" w:lineRule="auto"/>
        <w:jc w:val="both"/>
        <w:rPr>
          <w:rFonts w:ascii="Tahoma" w:hAnsi="Tahoma" w:cs="Tahoma"/>
          <w:bCs/>
          <w:sz w:val="20"/>
          <w:szCs w:val="20"/>
        </w:rPr>
      </w:pPr>
    </w:p>
    <w:p w14:paraId="514045BC" w14:textId="5872234B" w:rsidR="00B038BD" w:rsidRPr="00B15171" w:rsidRDefault="00263FB2" w:rsidP="00B15171">
      <w:pPr>
        <w:spacing w:after="200" w:line="360" w:lineRule="auto"/>
        <w:jc w:val="both"/>
        <w:rPr>
          <w:rFonts w:ascii="Tahoma" w:hAnsi="Tahoma" w:cs="Tahoma"/>
          <w:bCs/>
          <w:sz w:val="20"/>
          <w:szCs w:val="20"/>
        </w:rPr>
      </w:pPr>
      <w:r w:rsidRPr="00B15171">
        <w:rPr>
          <w:rFonts w:ascii="Tahoma" w:hAnsi="Tahoma" w:cs="Tahoma"/>
          <w:bCs/>
          <w:sz w:val="20"/>
          <w:szCs w:val="20"/>
        </w:rPr>
        <w:t>Consideriamo quindi il caso che la società abbia esercitato la deroga per il 202</w:t>
      </w:r>
      <w:r w:rsidR="00114D43">
        <w:rPr>
          <w:rFonts w:ascii="Tahoma" w:hAnsi="Tahoma" w:cs="Tahoma"/>
          <w:bCs/>
          <w:sz w:val="20"/>
          <w:szCs w:val="20"/>
        </w:rPr>
        <w:t>2</w:t>
      </w:r>
      <w:r w:rsidRPr="00B15171">
        <w:rPr>
          <w:rFonts w:ascii="Tahoma" w:hAnsi="Tahoma" w:cs="Tahoma"/>
          <w:bCs/>
          <w:sz w:val="20"/>
          <w:szCs w:val="20"/>
        </w:rPr>
        <w:t xml:space="preserve"> ed il 202</w:t>
      </w:r>
      <w:r w:rsidR="00114D43">
        <w:rPr>
          <w:rFonts w:ascii="Tahoma" w:hAnsi="Tahoma" w:cs="Tahoma"/>
          <w:bCs/>
          <w:sz w:val="20"/>
          <w:szCs w:val="20"/>
        </w:rPr>
        <w:t>3</w:t>
      </w:r>
      <w:r w:rsidR="00B038BD" w:rsidRPr="00B15171">
        <w:rPr>
          <w:rFonts w:ascii="Tahoma" w:hAnsi="Tahoma" w:cs="Tahoma"/>
          <w:bCs/>
          <w:sz w:val="20"/>
          <w:szCs w:val="20"/>
        </w:rPr>
        <w:t xml:space="preserve">. </w:t>
      </w:r>
    </w:p>
    <w:p w14:paraId="51F32B6F" w14:textId="72274CC9" w:rsidR="00263FB2" w:rsidRPr="00B15171" w:rsidRDefault="00531007" w:rsidP="00B15171">
      <w:pPr>
        <w:spacing w:after="200" w:line="360" w:lineRule="auto"/>
        <w:jc w:val="both"/>
        <w:rPr>
          <w:rFonts w:ascii="Tahoma" w:hAnsi="Tahoma" w:cs="Tahoma"/>
          <w:bCs/>
          <w:sz w:val="20"/>
          <w:szCs w:val="20"/>
        </w:rPr>
      </w:pPr>
      <w:r w:rsidRPr="00B15171">
        <w:rPr>
          <w:rFonts w:ascii="Tahoma" w:hAnsi="Tahoma" w:cs="Tahoma"/>
          <w:bCs/>
          <w:sz w:val="20"/>
          <w:szCs w:val="20"/>
        </w:rPr>
        <w:t>Il piano di ammortamento prima dell’esercizio della deroga era il seguente.</w:t>
      </w:r>
    </w:p>
    <w:p w14:paraId="4C6CB06D" w14:textId="2DC0CA44" w:rsidR="00531007" w:rsidRPr="00B15171" w:rsidRDefault="00263FB2" w:rsidP="00B15171">
      <w:pPr>
        <w:spacing w:after="200" w:line="360" w:lineRule="auto"/>
        <w:jc w:val="both"/>
        <w:rPr>
          <w:rFonts w:ascii="Tahoma" w:hAnsi="Tahoma" w:cs="Tahoma"/>
          <w:bCs/>
          <w:sz w:val="20"/>
          <w:szCs w:val="20"/>
        </w:rPr>
      </w:pPr>
      <w:r w:rsidRPr="00B15171">
        <w:rPr>
          <w:rFonts w:ascii="Tahoma" w:hAnsi="Tahoma" w:cs="Tahoma"/>
          <w:bCs/>
          <w:sz w:val="20"/>
          <w:szCs w:val="20"/>
        </w:rPr>
        <w:t>- Anno 202</w:t>
      </w:r>
      <w:r w:rsidR="00114D43">
        <w:rPr>
          <w:rFonts w:ascii="Tahoma" w:hAnsi="Tahoma" w:cs="Tahoma"/>
          <w:bCs/>
          <w:sz w:val="20"/>
          <w:szCs w:val="20"/>
        </w:rPr>
        <w:t>2</w:t>
      </w:r>
    </w:p>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531007" w:rsidRPr="00B15171" w14:paraId="61A07734" w14:textId="77777777" w:rsidTr="00B15171">
        <w:trPr>
          <w:trHeight w:val="450"/>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92044" w14:textId="77777777" w:rsidR="00531007" w:rsidRPr="00B15171" w:rsidRDefault="00531007"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177BF0" w14:textId="77777777" w:rsidR="00531007" w:rsidRPr="00B15171" w:rsidRDefault="00531007"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4FA789B" w14:textId="581C5A42"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w:t>
            </w:r>
            <w:r w:rsidR="00114D43">
              <w:rPr>
                <w:rFonts w:ascii="Tahoma" w:hAnsi="Tahoma" w:cs="Tahoma"/>
                <w:i/>
                <w:iCs/>
                <w:color w:val="000000"/>
                <w:sz w:val="20"/>
                <w:szCs w:val="20"/>
              </w:rPr>
              <w:t>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F1D67B" w14:textId="17E077B1"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w:t>
            </w:r>
            <w:r w:rsidR="00114D43">
              <w:rPr>
                <w:rFonts w:ascii="Tahoma" w:hAnsi="Tahoma" w:cs="Tahoma"/>
                <w:i/>
                <w:iCs/>
                <w:color w:val="000000"/>
                <w:sz w:val="20"/>
                <w:szCs w:val="20"/>
              </w:rPr>
              <w:t>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3BE1669" w14:textId="195C80D8"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w:t>
            </w:r>
            <w:r w:rsidR="00263FB2" w:rsidRPr="00B15171">
              <w:rPr>
                <w:rFonts w:ascii="Tahoma" w:hAnsi="Tahoma" w:cs="Tahoma"/>
                <w:i/>
                <w:iCs/>
                <w:color w:val="000000"/>
                <w:sz w:val="20"/>
                <w:szCs w:val="20"/>
              </w:rPr>
              <w:t>202</w:t>
            </w:r>
            <w:r w:rsidR="00114D43">
              <w:rPr>
                <w:rFonts w:ascii="Tahoma" w:hAnsi="Tahoma" w:cs="Tahoma"/>
                <w:i/>
                <w:iCs/>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6E78EF" w14:textId="0CC79326"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114D43">
              <w:rPr>
                <w:rFonts w:ascii="Tahoma" w:hAnsi="Tahoma" w:cs="Tahoma"/>
                <w:i/>
                <w:iCs/>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224AE7" w14:textId="5F64C084" w:rsidR="00531007" w:rsidRPr="00B15171" w:rsidRDefault="00531007"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114D43">
              <w:rPr>
                <w:rFonts w:ascii="Tahoma" w:hAnsi="Tahoma" w:cs="Tahoma"/>
                <w:i/>
                <w:iCs/>
                <w:color w:val="000000"/>
                <w:sz w:val="20"/>
                <w:szCs w:val="20"/>
              </w:rPr>
              <w:t>3</w:t>
            </w:r>
          </w:p>
        </w:tc>
      </w:tr>
    </w:tbl>
    <w:p w14:paraId="6E169800" w14:textId="77777777" w:rsidR="006901CF" w:rsidRDefault="006901CF"/>
    <w:tbl>
      <w:tblPr>
        <w:tblW w:w="7600" w:type="dxa"/>
        <w:jc w:val="center"/>
        <w:tblCellMar>
          <w:left w:w="70" w:type="dxa"/>
          <w:right w:w="70" w:type="dxa"/>
        </w:tblCellMar>
        <w:tblLook w:val="04A0" w:firstRow="1" w:lastRow="0" w:firstColumn="1" w:lastColumn="0" w:noHBand="0" w:noVBand="1"/>
      </w:tblPr>
      <w:tblGrid>
        <w:gridCol w:w="1840"/>
        <w:gridCol w:w="960"/>
        <w:gridCol w:w="960"/>
        <w:gridCol w:w="960"/>
        <w:gridCol w:w="960"/>
        <w:gridCol w:w="960"/>
        <w:gridCol w:w="960"/>
      </w:tblGrid>
      <w:tr w:rsidR="00531007" w:rsidRPr="00B15171" w14:paraId="67592203" w14:textId="77777777" w:rsidTr="006901CF">
        <w:trPr>
          <w:trHeight w:val="300"/>
          <w:jc w:val="center"/>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E8225"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EB3A4FA"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CCD501"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14341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71F676C"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ACF4085"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BEB278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531007" w:rsidRPr="00B15171" w14:paraId="307D0B9C" w14:textId="77777777" w:rsidTr="006901C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17ACC77"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3F02E95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6DBE8EF6"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7F63D6"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2C25D4F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267175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07F72CC4" w14:textId="77777777" w:rsidR="00531007" w:rsidRPr="00B15171" w:rsidRDefault="00531007" w:rsidP="00B15171">
            <w:pPr>
              <w:spacing w:after="200" w:line="360" w:lineRule="auto"/>
              <w:jc w:val="right"/>
              <w:rPr>
                <w:rFonts w:ascii="Tahoma" w:hAnsi="Tahoma" w:cs="Tahoma"/>
                <w:color w:val="000000"/>
                <w:sz w:val="20"/>
                <w:szCs w:val="20"/>
              </w:rPr>
            </w:pPr>
          </w:p>
        </w:tc>
      </w:tr>
      <w:tr w:rsidR="00531007" w:rsidRPr="00B15171" w14:paraId="19DEAD4C" w14:textId="77777777" w:rsidTr="006901CF">
        <w:trPr>
          <w:trHeight w:val="300"/>
          <w:jc w:val="center"/>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833202F"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6C6693F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36479CB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7452CEB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27D07CC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04507AF3"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1E8971C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r w:rsidR="00531007" w:rsidRPr="00B15171" w14:paraId="141A5F08" w14:textId="77777777" w:rsidTr="006901CF">
        <w:trPr>
          <w:trHeight w:val="300"/>
          <w:jc w:val="center"/>
        </w:trPr>
        <w:tc>
          <w:tcPr>
            <w:tcW w:w="1840" w:type="dxa"/>
            <w:tcBorders>
              <w:top w:val="nil"/>
              <w:left w:val="nil"/>
              <w:bottom w:val="nil"/>
              <w:right w:val="nil"/>
            </w:tcBorders>
            <w:shd w:val="clear" w:color="auto" w:fill="auto"/>
            <w:noWrap/>
            <w:vAlign w:val="bottom"/>
            <w:hideMark/>
          </w:tcPr>
          <w:p w14:paraId="0EAAF376" w14:textId="77777777" w:rsidR="00531007" w:rsidRPr="00B15171" w:rsidRDefault="00531007" w:rsidP="00B15171">
            <w:pPr>
              <w:spacing w:after="200" w:line="360" w:lineRule="auto"/>
              <w:jc w:val="right"/>
              <w:rPr>
                <w:rFonts w:ascii="Tahoma" w:hAnsi="Tahoma" w:cs="Tahoma"/>
                <w:color w:val="000000"/>
                <w:sz w:val="20"/>
                <w:szCs w:val="20"/>
              </w:rPr>
            </w:pPr>
          </w:p>
        </w:tc>
        <w:tc>
          <w:tcPr>
            <w:tcW w:w="960" w:type="dxa"/>
            <w:tcBorders>
              <w:top w:val="nil"/>
              <w:left w:val="nil"/>
              <w:bottom w:val="nil"/>
              <w:right w:val="nil"/>
            </w:tcBorders>
            <w:shd w:val="clear" w:color="auto" w:fill="auto"/>
            <w:noWrap/>
            <w:vAlign w:val="bottom"/>
            <w:hideMark/>
          </w:tcPr>
          <w:p w14:paraId="4F4AA7D8"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E15E939"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9A13528"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28810657"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78DD0407" w14:textId="77777777" w:rsidR="00531007" w:rsidRPr="00B15171" w:rsidRDefault="00531007" w:rsidP="00B15171">
            <w:pPr>
              <w:spacing w:after="200" w:line="360" w:lineRule="auto"/>
              <w:rPr>
                <w:rFonts w:ascii="Tahoma" w:hAnsi="Tahoma" w:cs="Tahoma"/>
                <w:sz w:val="20"/>
                <w:szCs w:val="20"/>
              </w:rPr>
            </w:pPr>
          </w:p>
        </w:tc>
        <w:tc>
          <w:tcPr>
            <w:tcW w:w="960" w:type="dxa"/>
            <w:tcBorders>
              <w:top w:val="nil"/>
              <w:left w:val="nil"/>
              <w:bottom w:val="nil"/>
              <w:right w:val="nil"/>
            </w:tcBorders>
            <w:shd w:val="clear" w:color="auto" w:fill="auto"/>
            <w:noWrap/>
            <w:vAlign w:val="bottom"/>
            <w:hideMark/>
          </w:tcPr>
          <w:p w14:paraId="51F08B3C" w14:textId="77777777" w:rsidR="00531007" w:rsidRPr="00B15171" w:rsidRDefault="00531007" w:rsidP="00B15171">
            <w:pPr>
              <w:spacing w:after="200" w:line="360" w:lineRule="auto"/>
              <w:rPr>
                <w:rFonts w:ascii="Tahoma" w:hAnsi="Tahoma" w:cs="Tahoma"/>
                <w:sz w:val="20"/>
                <w:szCs w:val="20"/>
              </w:rPr>
            </w:pPr>
          </w:p>
        </w:tc>
      </w:tr>
      <w:tr w:rsidR="00531007" w:rsidRPr="00B15171" w14:paraId="2C912613" w14:textId="77777777" w:rsidTr="006901CF">
        <w:trPr>
          <w:trHeight w:val="300"/>
          <w:jc w:val="center"/>
        </w:trPr>
        <w:tc>
          <w:tcPr>
            <w:tcW w:w="1840" w:type="dxa"/>
            <w:tcBorders>
              <w:top w:val="nil"/>
              <w:left w:val="nil"/>
              <w:bottom w:val="nil"/>
              <w:right w:val="nil"/>
            </w:tcBorders>
            <w:shd w:val="clear" w:color="auto" w:fill="auto"/>
            <w:noWrap/>
            <w:vAlign w:val="center"/>
            <w:hideMark/>
          </w:tcPr>
          <w:p w14:paraId="52BC6E67"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21E43D9C" w14:textId="77777777" w:rsidR="00531007" w:rsidRPr="00B15171" w:rsidRDefault="00531007"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C5B7E"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EED81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3E5236E"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8CFF9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436FCE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576E7FEB" w14:textId="77777777" w:rsidR="00531007" w:rsidRPr="00B15171" w:rsidRDefault="00531007" w:rsidP="00B15171">
      <w:pPr>
        <w:spacing w:after="200" w:line="360" w:lineRule="auto"/>
        <w:jc w:val="both"/>
        <w:rPr>
          <w:rFonts w:ascii="Tahoma" w:hAnsi="Tahoma" w:cs="Tahoma"/>
          <w:sz w:val="20"/>
          <w:szCs w:val="20"/>
        </w:rPr>
      </w:pPr>
    </w:p>
    <w:p w14:paraId="3760DC1E" w14:textId="57532892" w:rsidR="00531007" w:rsidRPr="00B15171" w:rsidRDefault="007E2571" w:rsidP="00B15171">
      <w:pPr>
        <w:spacing w:after="200" w:line="360" w:lineRule="auto"/>
        <w:jc w:val="both"/>
        <w:rPr>
          <w:rFonts w:ascii="Tahoma" w:hAnsi="Tahoma" w:cs="Tahoma"/>
          <w:bCs/>
          <w:sz w:val="20"/>
          <w:szCs w:val="20"/>
        </w:rPr>
      </w:pPr>
      <w:r w:rsidRPr="00B15171">
        <w:rPr>
          <w:rFonts w:ascii="Tahoma" w:hAnsi="Tahoma" w:cs="Tahoma"/>
          <w:bCs/>
          <w:sz w:val="20"/>
          <w:szCs w:val="20"/>
        </w:rPr>
        <w:t>La società aveva esercitato la deroga nel 202</w:t>
      </w:r>
      <w:r w:rsidR="00114D43">
        <w:rPr>
          <w:rFonts w:ascii="Tahoma" w:hAnsi="Tahoma" w:cs="Tahoma"/>
          <w:bCs/>
          <w:sz w:val="20"/>
          <w:szCs w:val="20"/>
        </w:rPr>
        <w:t>2</w:t>
      </w:r>
      <w:r w:rsidRPr="00B15171">
        <w:rPr>
          <w:rFonts w:ascii="Tahoma" w:hAnsi="Tahoma" w:cs="Tahoma"/>
          <w:bCs/>
          <w:sz w:val="20"/>
          <w:szCs w:val="20"/>
        </w:rPr>
        <w:t xml:space="preserve"> e</w:t>
      </w:r>
      <w:r w:rsidR="008E20C5" w:rsidRPr="00B15171">
        <w:rPr>
          <w:rFonts w:ascii="Tahoma" w:hAnsi="Tahoma" w:cs="Tahoma"/>
          <w:bCs/>
          <w:sz w:val="20"/>
          <w:szCs w:val="20"/>
        </w:rPr>
        <w:t>d</w:t>
      </w:r>
      <w:r w:rsidRPr="00B15171">
        <w:rPr>
          <w:rFonts w:ascii="Tahoma" w:hAnsi="Tahoma" w:cs="Tahoma"/>
          <w:bCs/>
          <w:sz w:val="20"/>
          <w:szCs w:val="20"/>
        </w:rPr>
        <w:t xml:space="preserve"> esercita la deroga anche nell’esercizio 202</w:t>
      </w:r>
      <w:r w:rsidR="00114D43">
        <w:rPr>
          <w:rFonts w:ascii="Tahoma" w:hAnsi="Tahoma" w:cs="Tahoma"/>
          <w:bCs/>
          <w:sz w:val="20"/>
          <w:szCs w:val="20"/>
        </w:rPr>
        <w:t>3</w:t>
      </w:r>
      <w:r w:rsidRPr="00B15171">
        <w:rPr>
          <w:rFonts w:ascii="Tahoma" w:hAnsi="Tahoma" w:cs="Tahoma"/>
          <w:bCs/>
          <w:sz w:val="20"/>
          <w:szCs w:val="20"/>
        </w:rPr>
        <w:t>.</w:t>
      </w:r>
    </w:p>
    <w:p w14:paraId="09266521" w14:textId="2C48492C" w:rsidR="00604848" w:rsidRPr="00B15171" w:rsidRDefault="00A22E30" w:rsidP="00B15171">
      <w:pPr>
        <w:spacing w:after="200" w:line="360" w:lineRule="auto"/>
        <w:jc w:val="both"/>
        <w:rPr>
          <w:rFonts w:ascii="Tahoma" w:hAnsi="Tahoma" w:cs="Tahoma"/>
          <w:bCs/>
          <w:sz w:val="20"/>
          <w:szCs w:val="20"/>
        </w:rPr>
      </w:pPr>
      <w:r w:rsidRPr="00B15171">
        <w:rPr>
          <w:rFonts w:ascii="Tahoma" w:hAnsi="Tahoma" w:cs="Tahoma"/>
          <w:bCs/>
          <w:sz w:val="20"/>
          <w:szCs w:val="20"/>
        </w:rPr>
        <w:t>Considerando che la società, anche nel 202</w:t>
      </w:r>
      <w:r w:rsidR="00114D43">
        <w:rPr>
          <w:rFonts w:ascii="Tahoma" w:hAnsi="Tahoma" w:cs="Tahoma"/>
          <w:bCs/>
          <w:sz w:val="20"/>
          <w:szCs w:val="20"/>
        </w:rPr>
        <w:t>3</w:t>
      </w:r>
      <w:r w:rsidRPr="00B15171">
        <w:rPr>
          <w:rFonts w:ascii="Tahoma" w:hAnsi="Tahoma" w:cs="Tahoma"/>
          <w:bCs/>
          <w:sz w:val="20"/>
          <w:szCs w:val="20"/>
        </w:rPr>
        <w:t xml:space="preserve"> non imputi al conto economico alcun ammortamento, i</w:t>
      </w:r>
      <w:r w:rsidR="00531007" w:rsidRPr="00B15171">
        <w:rPr>
          <w:rFonts w:ascii="Tahoma" w:hAnsi="Tahoma" w:cs="Tahoma"/>
          <w:bCs/>
          <w:sz w:val="20"/>
          <w:szCs w:val="20"/>
        </w:rPr>
        <w:t>l nuovo piano di ammortamento sarà il seguente</w:t>
      </w:r>
      <w:r w:rsidR="00212F83" w:rsidRPr="00B15171">
        <w:rPr>
          <w:rFonts w:ascii="Tahoma" w:hAnsi="Tahoma" w:cs="Tahoma"/>
          <w:bCs/>
          <w:sz w:val="20"/>
          <w:szCs w:val="20"/>
        </w:rPr>
        <w:t xml:space="preserve">, con ulteriore allungamento della vita utile </w:t>
      </w:r>
      <w:r w:rsidRPr="00B15171">
        <w:rPr>
          <w:rFonts w:ascii="Tahoma" w:hAnsi="Tahoma" w:cs="Tahoma"/>
          <w:bCs/>
          <w:sz w:val="20"/>
          <w:szCs w:val="20"/>
        </w:rPr>
        <w:t>dei beni in ammortamento</w:t>
      </w:r>
      <w:r w:rsidR="00531007" w:rsidRPr="00B15171">
        <w:rPr>
          <w:rFonts w:ascii="Tahoma" w:hAnsi="Tahoma" w:cs="Tahoma"/>
          <w:bCs/>
          <w:sz w:val="20"/>
          <w:szCs w:val="20"/>
        </w:rPr>
        <w:t>:</w:t>
      </w:r>
    </w:p>
    <w:tbl>
      <w:tblPr>
        <w:tblW w:w="9520" w:type="dxa"/>
        <w:tblInd w:w="-5" w:type="dxa"/>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gridCol w:w="960"/>
      </w:tblGrid>
      <w:tr w:rsidR="00263FB2" w:rsidRPr="00B15171" w14:paraId="2E891331" w14:textId="77777777" w:rsidTr="00A62E83">
        <w:trPr>
          <w:trHeight w:val="4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5233E" w14:textId="77777777" w:rsidR="00263FB2" w:rsidRPr="00B15171" w:rsidRDefault="00263FB2"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lastRenderedPageBreak/>
              <w:t>Categoria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D85CE41" w14:textId="77777777" w:rsidR="00263FB2" w:rsidRPr="00B15171" w:rsidRDefault="00263FB2" w:rsidP="00B15171">
            <w:pPr>
              <w:spacing w:after="200" w:line="360" w:lineRule="auto"/>
              <w:jc w:val="center"/>
              <w:rPr>
                <w:rFonts w:ascii="Tahoma" w:hAnsi="Tahoma" w:cs="Tahoma"/>
                <w:i/>
                <w:iCs/>
                <w:color w:val="000000"/>
                <w:sz w:val="20"/>
                <w:szCs w:val="20"/>
              </w:rPr>
            </w:pPr>
            <w:r w:rsidRPr="00B15171">
              <w:rPr>
                <w:rFonts w:ascii="Tahoma" w:hAnsi="Tahoma" w:cs="Tahoma"/>
                <w:i/>
                <w:iCs/>
                <w:color w:val="000000"/>
                <w:sz w:val="20"/>
                <w:szCs w:val="20"/>
              </w:rPr>
              <w:t>Costo storico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464717" w14:textId="6C2BF88B"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201</w:t>
            </w:r>
            <w:r w:rsidR="00114D43">
              <w:rPr>
                <w:rFonts w:ascii="Tahoma" w:hAnsi="Tahoma" w:cs="Tahoma"/>
                <w:i/>
                <w:iCs/>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0220F06" w14:textId="6DEAEB59"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w:t>
            </w:r>
            <w:r w:rsidR="00114D43">
              <w:rPr>
                <w:rFonts w:ascii="Tahoma" w:hAnsi="Tahoma" w:cs="Tahoma"/>
                <w:i/>
                <w:iCs/>
                <w:color w:val="000000"/>
                <w:sz w:val="20"/>
                <w:szCs w:val="20"/>
              </w:rPr>
              <w:t>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5A758EE" w14:textId="6853A31A"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114D43">
              <w:rPr>
                <w:rFonts w:ascii="Tahoma" w:hAnsi="Tahoma" w:cs="Tahoma"/>
                <w:i/>
                <w:iCs/>
                <w:color w:val="000000"/>
                <w:sz w:val="20"/>
                <w:szCs w:val="20"/>
              </w:rPr>
              <w:t>1</w:t>
            </w:r>
          </w:p>
        </w:tc>
        <w:tc>
          <w:tcPr>
            <w:tcW w:w="960" w:type="dxa"/>
            <w:tcBorders>
              <w:top w:val="single" w:sz="4" w:space="0" w:color="auto"/>
              <w:left w:val="nil"/>
              <w:bottom w:val="single" w:sz="4" w:space="0" w:color="auto"/>
              <w:right w:val="single" w:sz="4" w:space="0" w:color="auto"/>
            </w:tcBorders>
            <w:vAlign w:val="center"/>
          </w:tcPr>
          <w:p w14:paraId="5A337608" w14:textId="6BA4FA54"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114D43">
              <w:rPr>
                <w:rFonts w:ascii="Tahoma" w:hAnsi="Tahoma" w:cs="Tahoma"/>
                <w:i/>
                <w:iCs/>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vAlign w:val="center"/>
          </w:tcPr>
          <w:p w14:paraId="0344038D" w14:textId="33245935"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114D43">
              <w:rPr>
                <w:rFonts w:ascii="Tahoma" w:hAnsi="Tahoma" w:cs="Tahoma"/>
                <w:i/>
                <w:iCs/>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tcPr>
          <w:p w14:paraId="600B971F" w14:textId="147F274A"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114D43">
              <w:rPr>
                <w:rFonts w:ascii="Tahoma" w:hAnsi="Tahoma" w:cs="Tahoma"/>
                <w:i/>
                <w:iCs/>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vAlign w:val="center"/>
          </w:tcPr>
          <w:p w14:paraId="37B17959" w14:textId="6D12FDF9" w:rsidR="00263FB2" w:rsidRPr="00B15171" w:rsidRDefault="00263FB2" w:rsidP="00B15171">
            <w:pPr>
              <w:spacing w:after="200" w:line="360" w:lineRule="auto"/>
              <w:jc w:val="center"/>
              <w:rPr>
                <w:rFonts w:ascii="Tahoma" w:hAnsi="Tahoma" w:cs="Tahoma"/>
                <w:i/>
                <w:iCs/>
                <w:color w:val="000000"/>
                <w:sz w:val="20"/>
                <w:szCs w:val="20"/>
              </w:rPr>
            </w:pPr>
            <w:proofErr w:type="spellStart"/>
            <w:r w:rsidRPr="00B15171">
              <w:rPr>
                <w:rFonts w:ascii="Tahoma" w:hAnsi="Tahoma" w:cs="Tahoma"/>
                <w:i/>
                <w:iCs/>
                <w:color w:val="000000"/>
                <w:sz w:val="20"/>
                <w:szCs w:val="20"/>
              </w:rPr>
              <w:t>amm</w:t>
            </w:r>
            <w:proofErr w:type="spellEnd"/>
            <w:r w:rsidRPr="00B15171">
              <w:rPr>
                <w:rFonts w:ascii="Tahoma" w:hAnsi="Tahoma" w:cs="Tahoma"/>
                <w:i/>
                <w:iCs/>
                <w:color w:val="000000"/>
                <w:sz w:val="20"/>
                <w:szCs w:val="20"/>
              </w:rPr>
              <w:t xml:space="preserve"> 202</w:t>
            </w:r>
            <w:r w:rsidR="00114D43">
              <w:rPr>
                <w:rFonts w:ascii="Tahoma" w:hAnsi="Tahoma" w:cs="Tahoma"/>
                <w:i/>
                <w:iCs/>
                <w:color w:val="000000"/>
                <w:sz w:val="20"/>
                <w:szCs w:val="20"/>
              </w:rPr>
              <w:t>5</w:t>
            </w:r>
          </w:p>
        </w:tc>
      </w:tr>
    </w:tbl>
    <w:p w14:paraId="73D21908" w14:textId="77777777" w:rsidR="006901CF" w:rsidRDefault="006901CF"/>
    <w:tbl>
      <w:tblPr>
        <w:tblW w:w="9520" w:type="dxa"/>
        <w:tblInd w:w="-5" w:type="dxa"/>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gridCol w:w="960"/>
      </w:tblGrid>
      <w:tr w:rsidR="00531007" w:rsidRPr="00B15171" w14:paraId="788265E2" w14:textId="77777777" w:rsidTr="006901CF">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910A3"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Spese di sviluppo.</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2FF6B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1000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177DA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53B4C1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EE34748"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tcPr>
          <w:p w14:paraId="2B21CA0A" w14:textId="44705A51"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4A509A0E" w14:textId="2545AB12"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03253B9" w14:textId="5302BD3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5C2AD6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r>
      <w:tr w:rsidR="00531007" w:rsidRPr="00B15171" w14:paraId="04145032" w14:textId="77777777" w:rsidTr="006901CF">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D8B94C6"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Automezzi</w:t>
            </w:r>
          </w:p>
        </w:tc>
        <w:tc>
          <w:tcPr>
            <w:tcW w:w="960" w:type="dxa"/>
            <w:tcBorders>
              <w:top w:val="nil"/>
              <w:left w:val="nil"/>
              <w:bottom w:val="single" w:sz="4" w:space="0" w:color="auto"/>
              <w:right w:val="single" w:sz="4" w:space="0" w:color="auto"/>
            </w:tcBorders>
            <w:shd w:val="clear" w:color="auto" w:fill="auto"/>
            <w:noWrap/>
            <w:vAlign w:val="center"/>
            <w:hideMark/>
          </w:tcPr>
          <w:p w14:paraId="2ED74B92"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200</w:t>
            </w:r>
          </w:p>
        </w:tc>
        <w:tc>
          <w:tcPr>
            <w:tcW w:w="960" w:type="dxa"/>
            <w:tcBorders>
              <w:top w:val="nil"/>
              <w:left w:val="nil"/>
              <w:bottom w:val="single" w:sz="4" w:space="0" w:color="auto"/>
              <w:right w:val="single" w:sz="4" w:space="0" w:color="auto"/>
            </w:tcBorders>
            <w:shd w:val="clear" w:color="auto" w:fill="auto"/>
            <w:noWrap/>
            <w:vAlign w:val="center"/>
            <w:hideMark/>
          </w:tcPr>
          <w:p w14:paraId="147AD923"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7E8D6ED"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A8A195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single" w:sz="4" w:space="0" w:color="auto"/>
              <w:left w:val="nil"/>
              <w:bottom w:val="single" w:sz="4" w:space="0" w:color="auto"/>
              <w:right w:val="single" w:sz="4" w:space="0" w:color="auto"/>
            </w:tcBorders>
          </w:tcPr>
          <w:p w14:paraId="673A98A4" w14:textId="04453364"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4DFEB287" w14:textId="7CC09C9D"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2EF9FC63" w14:textId="1132DC50"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center"/>
            <w:hideMark/>
          </w:tcPr>
          <w:p w14:paraId="47543223" w14:textId="77777777" w:rsidR="00531007" w:rsidRPr="00B15171" w:rsidRDefault="00531007" w:rsidP="00B15171">
            <w:pPr>
              <w:spacing w:after="200" w:line="360" w:lineRule="auto"/>
              <w:jc w:val="right"/>
              <w:rPr>
                <w:rFonts w:ascii="Tahoma" w:hAnsi="Tahoma" w:cs="Tahoma"/>
                <w:color w:val="000000"/>
                <w:sz w:val="20"/>
                <w:szCs w:val="20"/>
              </w:rPr>
            </w:pPr>
          </w:p>
        </w:tc>
      </w:tr>
      <w:tr w:rsidR="00531007" w:rsidRPr="00B15171" w14:paraId="3E59CEEF" w14:textId="77777777" w:rsidTr="006901CF">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A553BB9"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Macchine elettroniche</w:t>
            </w:r>
          </w:p>
        </w:tc>
        <w:tc>
          <w:tcPr>
            <w:tcW w:w="960" w:type="dxa"/>
            <w:tcBorders>
              <w:top w:val="nil"/>
              <w:left w:val="nil"/>
              <w:bottom w:val="single" w:sz="4" w:space="0" w:color="auto"/>
              <w:right w:val="single" w:sz="4" w:space="0" w:color="auto"/>
            </w:tcBorders>
            <w:shd w:val="clear" w:color="auto" w:fill="auto"/>
            <w:noWrap/>
            <w:vAlign w:val="center"/>
            <w:hideMark/>
          </w:tcPr>
          <w:p w14:paraId="52E0EC77"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400</w:t>
            </w:r>
          </w:p>
        </w:tc>
        <w:tc>
          <w:tcPr>
            <w:tcW w:w="960" w:type="dxa"/>
            <w:tcBorders>
              <w:top w:val="nil"/>
              <w:left w:val="nil"/>
              <w:bottom w:val="single" w:sz="4" w:space="0" w:color="auto"/>
              <w:right w:val="single" w:sz="4" w:space="0" w:color="auto"/>
            </w:tcBorders>
            <w:shd w:val="clear" w:color="auto" w:fill="auto"/>
            <w:noWrap/>
            <w:vAlign w:val="center"/>
            <w:hideMark/>
          </w:tcPr>
          <w:p w14:paraId="19DC7D48"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3ABEE3C9"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48356B7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single" w:sz="4" w:space="0" w:color="auto"/>
              <w:left w:val="nil"/>
              <w:bottom w:val="single" w:sz="4" w:space="0" w:color="auto"/>
              <w:right w:val="single" w:sz="4" w:space="0" w:color="auto"/>
            </w:tcBorders>
          </w:tcPr>
          <w:p w14:paraId="76DBCFC0" w14:textId="6DD13CA5"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69BDE22C" w14:textId="0F10846C"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hideMark/>
          </w:tcPr>
          <w:p w14:paraId="44678439" w14:textId="3F13D4E9"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c>
          <w:tcPr>
            <w:tcW w:w="960" w:type="dxa"/>
            <w:tcBorders>
              <w:top w:val="nil"/>
              <w:left w:val="nil"/>
              <w:bottom w:val="single" w:sz="4" w:space="0" w:color="auto"/>
              <w:right w:val="single" w:sz="4" w:space="0" w:color="auto"/>
            </w:tcBorders>
            <w:shd w:val="clear" w:color="auto" w:fill="auto"/>
            <w:noWrap/>
            <w:vAlign w:val="center"/>
            <w:hideMark/>
          </w:tcPr>
          <w:p w14:paraId="5248650F"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80</w:t>
            </w:r>
          </w:p>
        </w:tc>
      </w:tr>
    </w:tbl>
    <w:p w14:paraId="5E172A6F" w14:textId="77777777" w:rsidR="006901CF" w:rsidRDefault="006901CF"/>
    <w:tbl>
      <w:tblPr>
        <w:tblW w:w="9520" w:type="dxa"/>
        <w:tblCellMar>
          <w:left w:w="70" w:type="dxa"/>
          <w:right w:w="70" w:type="dxa"/>
        </w:tblCellMar>
        <w:tblLook w:val="04A0" w:firstRow="1" w:lastRow="0" w:firstColumn="1" w:lastColumn="0" w:noHBand="0" w:noVBand="1"/>
      </w:tblPr>
      <w:tblGrid>
        <w:gridCol w:w="1840"/>
        <w:gridCol w:w="960"/>
        <w:gridCol w:w="960"/>
        <w:gridCol w:w="960"/>
        <w:gridCol w:w="960"/>
        <w:gridCol w:w="960"/>
        <w:gridCol w:w="960"/>
        <w:gridCol w:w="960"/>
        <w:gridCol w:w="960"/>
      </w:tblGrid>
      <w:tr w:rsidR="00531007" w:rsidRPr="00B15171" w14:paraId="19A58B46" w14:textId="77777777" w:rsidTr="006901CF">
        <w:trPr>
          <w:trHeight w:val="300"/>
        </w:trPr>
        <w:tc>
          <w:tcPr>
            <w:tcW w:w="1840" w:type="dxa"/>
            <w:tcBorders>
              <w:top w:val="nil"/>
              <w:left w:val="nil"/>
              <w:bottom w:val="nil"/>
              <w:right w:val="nil"/>
            </w:tcBorders>
            <w:shd w:val="clear" w:color="auto" w:fill="auto"/>
            <w:noWrap/>
            <w:vAlign w:val="center"/>
            <w:hideMark/>
          </w:tcPr>
          <w:p w14:paraId="01FB904A" w14:textId="77777777" w:rsidR="00531007" w:rsidRPr="00B15171" w:rsidRDefault="00531007" w:rsidP="00B15171">
            <w:pPr>
              <w:spacing w:after="200" w:line="360" w:lineRule="auto"/>
              <w:rPr>
                <w:rFonts w:ascii="Tahoma" w:hAnsi="Tahoma" w:cs="Tahoma"/>
                <w:color w:val="000000"/>
                <w:sz w:val="20"/>
                <w:szCs w:val="20"/>
              </w:rPr>
            </w:pPr>
            <w:r w:rsidRPr="00B15171">
              <w:rPr>
                <w:rFonts w:ascii="Tahoma" w:hAnsi="Tahoma" w:cs="Tahoma"/>
                <w:color w:val="000000"/>
                <w:sz w:val="20"/>
                <w:szCs w:val="20"/>
              </w:rPr>
              <w:t>Totale ammortamenti</w:t>
            </w:r>
          </w:p>
        </w:tc>
        <w:tc>
          <w:tcPr>
            <w:tcW w:w="960" w:type="dxa"/>
            <w:tcBorders>
              <w:top w:val="nil"/>
              <w:left w:val="nil"/>
              <w:bottom w:val="nil"/>
              <w:right w:val="nil"/>
            </w:tcBorders>
            <w:shd w:val="clear" w:color="auto" w:fill="auto"/>
            <w:noWrap/>
            <w:vAlign w:val="bottom"/>
            <w:hideMark/>
          </w:tcPr>
          <w:p w14:paraId="2ADB0F92" w14:textId="77777777" w:rsidR="00531007" w:rsidRPr="00B15171" w:rsidRDefault="00531007" w:rsidP="00B15171">
            <w:pPr>
              <w:spacing w:after="200" w:line="360" w:lineRule="auto"/>
              <w:rPr>
                <w:rFonts w:ascii="Tahoma" w:hAnsi="Tahoma" w:cs="Tahoma"/>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1FB8"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D5AB1DB"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B65FA80"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tcPr>
          <w:p w14:paraId="7C1802B4" w14:textId="431EAD71"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tcPr>
          <w:p w14:paraId="402CAC07" w14:textId="07B4EE1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47AF1B" w14:textId="006349EF"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330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31577E5" w14:textId="77777777" w:rsidR="00531007" w:rsidRPr="00B15171" w:rsidRDefault="00531007" w:rsidP="00B15171">
            <w:pPr>
              <w:spacing w:after="200" w:line="360" w:lineRule="auto"/>
              <w:jc w:val="right"/>
              <w:rPr>
                <w:rFonts w:ascii="Tahoma" w:hAnsi="Tahoma" w:cs="Tahoma"/>
                <w:color w:val="000000"/>
                <w:sz w:val="20"/>
                <w:szCs w:val="20"/>
              </w:rPr>
            </w:pPr>
            <w:r w:rsidRPr="00B15171">
              <w:rPr>
                <w:rFonts w:ascii="Tahoma" w:hAnsi="Tahoma" w:cs="Tahoma"/>
                <w:color w:val="000000"/>
                <w:sz w:val="20"/>
                <w:szCs w:val="20"/>
              </w:rPr>
              <w:t>280</w:t>
            </w:r>
          </w:p>
        </w:tc>
      </w:tr>
    </w:tbl>
    <w:p w14:paraId="5257E667" w14:textId="77777777" w:rsidR="009C2A6F" w:rsidRPr="00B15171" w:rsidRDefault="009C2A6F" w:rsidP="00B15171">
      <w:pPr>
        <w:spacing w:after="200" w:line="360" w:lineRule="auto"/>
        <w:jc w:val="both"/>
        <w:rPr>
          <w:rFonts w:ascii="Tahoma" w:hAnsi="Tahoma" w:cs="Tahoma"/>
          <w:bCs/>
          <w:sz w:val="20"/>
          <w:szCs w:val="20"/>
        </w:rPr>
      </w:pPr>
    </w:p>
    <w:p w14:paraId="4BC5BF01" w14:textId="4D5ACD96" w:rsidR="009C2A6F" w:rsidRPr="00B15171" w:rsidRDefault="009C2A6F" w:rsidP="00B15171">
      <w:pPr>
        <w:spacing w:after="200" w:line="360" w:lineRule="auto"/>
        <w:jc w:val="both"/>
        <w:rPr>
          <w:rFonts w:ascii="Tahoma" w:hAnsi="Tahoma" w:cs="Tahoma"/>
          <w:bCs/>
          <w:sz w:val="20"/>
          <w:szCs w:val="20"/>
        </w:rPr>
      </w:pPr>
      <w:r w:rsidRPr="00B15171">
        <w:rPr>
          <w:rFonts w:ascii="Tahoma" w:hAnsi="Tahoma" w:cs="Tahoma"/>
          <w:bCs/>
          <w:sz w:val="20"/>
          <w:szCs w:val="20"/>
        </w:rPr>
        <w:t>Ripercorriamo quindi le scritture contabili che la società ha eseguito nel 202</w:t>
      </w:r>
      <w:r w:rsidR="00114D43">
        <w:rPr>
          <w:rFonts w:ascii="Tahoma" w:hAnsi="Tahoma" w:cs="Tahoma"/>
          <w:bCs/>
          <w:sz w:val="20"/>
          <w:szCs w:val="20"/>
        </w:rPr>
        <w:t>2</w:t>
      </w:r>
      <w:r w:rsidRPr="00B15171">
        <w:rPr>
          <w:rFonts w:ascii="Tahoma" w:hAnsi="Tahoma" w:cs="Tahoma"/>
          <w:bCs/>
          <w:sz w:val="20"/>
          <w:szCs w:val="20"/>
        </w:rPr>
        <w:t xml:space="preserve"> e deve eseguire in sede di chiusura di bilancio 202</w:t>
      </w:r>
      <w:r w:rsidR="00114D43">
        <w:rPr>
          <w:rFonts w:ascii="Tahoma" w:hAnsi="Tahoma" w:cs="Tahoma"/>
          <w:bCs/>
          <w:sz w:val="20"/>
          <w:szCs w:val="20"/>
        </w:rPr>
        <w:t>3</w:t>
      </w:r>
      <w:r w:rsidRPr="00B15171">
        <w:rPr>
          <w:rFonts w:ascii="Tahoma" w:hAnsi="Tahoma" w:cs="Tahoma"/>
          <w:bCs/>
          <w:sz w:val="20"/>
          <w:szCs w:val="20"/>
        </w:rPr>
        <w:t xml:space="preserve"> e di destinazione dell’utile 202</w:t>
      </w:r>
      <w:r w:rsidR="00114D43">
        <w:rPr>
          <w:rFonts w:ascii="Tahoma" w:hAnsi="Tahoma" w:cs="Tahoma"/>
          <w:bCs/>
          <w:sz w:val="20"/>
          <w:szCs w:val="20"/>
        </w:rPr>
        <w:t>3</w:t>
      </w:r>
      <w:r w:rsidRPr="00B15171">
        <w:rPr>
          <w:rFonts w:ascii="Tahoma" w:hAnsi="Tahoma" w:cs="Tahoma"/>
          <w:bCs/>
          <w:sz w:val="20"/>
          <w:szCs w:val="20"/>
        </w:rPr>
        <w:t>.</w:t>
      </w:r>
    </w:p>
    <w:p w14:paraId="3476CB94" w14:textId="2F8DCC22" w:rsidR="00531007" w:rsidRPr="00B15171" w:rsidRDefault="00B66D28" w:rsidP="00B15171">
      <w:pPr>
        <w:spacing w:after="200" w:line="360" w:lineRule="auto"/>
        <w:jc w:val="both"/>
        <w:rPr>
          <w:rFonts w:ascii="Tahoma" w:hAnsi="Tahoma" w:cs="Tahoma"/>
          <w:bCs/>
          <w:sz w:val="20"/>
          <w:szCs w:val="20"/>
        </w:rPr>
      </w:pPr>
      <w:r w:rsidRPr="00B15171">
        <w:rPr>
          <w:rFonts w:ascii="Tahoma" w:hAnsi="Tahoma" w:cs="Tahoma"/>
          <w:bCs/>
          <w:sz w:val="20"/>
          <w:szCs w:val="20"/>
        </w:rPr>
        <w:t>Consideriamo che nel 202</w:t>
      </w:r>
      <w:r w:rsidR="00114D43">
        <w:rPr>
          <w:rFonts w:ascii="Tahoma" w:hAnsi="Tahoma" w:cs="Tahoma"/>
          <w:bCs/>
          <w:sz w:val="20"/>
          <w:szCs w:val="20"/>
        </w:rPr>
        <w:t>2</w:t>
      </w:r>
      <w:r w:rsidRPr="00B15171">
        <w:rPr>
          <w:rFonts w:ascii="Tahoma" w:hAnsi="Tahoma" w:cs="Tahoma"/>
          <w:bCs/>
          <w:sz w:val="20"/>
          <w:szCs w:val="20"/>
        </w:rPr>
        <w:t xml:space="preserve"> la società abbia calcolato imposte differite in relazione alla deduzione degli ammortamenti non eseguiti:</w:t>
      </w:r>
    </w:p>
    <w:p w14:paraId="516D9E6D" w14:textId="6DDD099E" w:rsidR="00D57E0F" w:rsidRPr="00B15171" w:rsidRDefault="00D57E0F" w:rsidP="00B15171">
      <w:pPr>
        <w:spacing w:after="200" w:line="360" w:lineRule="auto"/>
        <w:jc w:val="both"/>
        <w:rPr>
          <w:rFonts w:ascii="Tahoma" w:hAnsi="Tahoma" w:cs="Tahoma"/>
          <w:bCs/>
          <w:sz w:val="20"/>
          <w:szCs w:val="20"/>
        </w:rPr>
      </w:pPr>
      <w:r w:rsidRPr="00B15171">
        <w:rPr>
          <w:rFonts w:ascii="Tahoma" w:hAnsi="Tahoma" w:cs="Tahoma"/>
          <w:bCs/>
          <w:sz w:val="20"/>
          <w:szCs w:val="20"/>
        </w:rPr>
        <w:t>Le scritture contabili al 31/12/202</w:t>
      </w:r>
      <w:r w:rsidR="00114D43">
        <w:rPr>
          <w:rFonts w:ascii="Tahoma" w:hAnsi="Tahoma" w:cs="Tahoma"/>
          <w:bCs/>
          <w:sz w:val="20"/>
          <w:szCs w:val="20"/>
        </w:rPr>
        <w:t>2</w:t>
      </w:r>
      <w:r w:rsidRPr="00B15171">
        <w:rPr>
          <w:rFonts w:ascii="Tahoma" w:hAnsi="Tahoma" w:cs="Tahoma"/>
          <w:bCs/>
          <w:sz w:val="20"/>
          <w:szCs w:val="20"/>
        </w:rPr>
        <w:t xml:space="preserve"> erano </w:t>
      </w:r>
      <w:r w:rsidR="00A22E30" w:rsidRPr="00B15171">
        <w:rPr>
          <w:rFonts w:ascii="Tahoma" w:hAnsi="Tahoma" w:cs="Tahoma"/>
          <w:bCs/>
          <w:sz w:val="20"/>
          <w:szCs w:val="20"/>
        </w:rPr>
        <w:t xml:space="preserve">state </w:t>
      </w:r>
      <w:r w:rsidRPr="00B15171">
        <w:rPr>
          <w:rFonts w:ascii="Tahoma" w:hAnsi="Tahoma" w:cs="Tahoma"/>
          <w:bCs/>
          <w:sz w:val="20"/>
          <w:szCs w:val="20"/>
        </w:rPr>
        <w:t>quindi le seguenti:</w:t>
      </w:r>
    </w:p>
    <w:p w14:paraId="7F7D9557" w14:textId="77777777"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Ammortamenti non eseguiti ma dedotti: 330</w:t>
      </w:r>
    </w:p>
    <w:p w14:paraId="0FD731A1" w14:textId="77777777"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Ires differita (24%): 79,20</w:t>
      </w:r>
    </w:p>
    <w:p w14:paraId="4EDE6031" w14:textId="42CE4E5D"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Irap differita (4,82%): 15,91</w:t>
      </w:r>
    </w:p>
    <w:p w14:paraId="2C5CB9AE" w14:textId="7FA12012"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Le scritture contabili </w:t>
      </w:r>
      <w:r w:rsidR="009C2A6F" w:rsidRPr="00B15171">
        <w:rPr>
          <w:rFonts w:ascii="Tahoma" w:hAnsi="Tahoma" w:cs="Tahoma"/>
          <w:bCs/>
          <w:iCs/>
          <w:sz w:val="20"/>
          <w:szCs w:val="20"/>
          <w:bdr w:val="none" w:sz="0" w:space="0" w:color="auto" w:frame="1"/>
        </w:rPr>
        <w:t>eran</w:t>
      </w:r>
      <w:r w:rsidRPr="00B15171">
        <w:rPr>
          <w:rFonts w:ascii="Tahoma" w:hAnsi="Tahoma" w:cs="Tahoma"/>
          <w:bCs/>
          <w:iCs/>
          <w:sz w:val="20"/>
          <w:szCs w:val="20"/>
          <w:bdr w:val="none" w:sz="0" w:space="0" w:color="auto" w:frame="1"/>
        </w:rPr>
        <w:t>o le seguenti:</w:t>
      </w:r>
    </w:p>
    <w:p w14:paraId="11243841" w14:textId="53C6E75C"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114D43">
        <w:rPr>
          <w:rFonts w:ascii="Tahoma" w:hAnsi="Tahoma" w:cs="Tahoma"/>
          <w:sz w:val="20"/>
          <w:szCs w:val="20"/>
        </w:rPr>
        <w:t>2</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D57E0F" w:rsidRPr="00B15171" w14:paraId="3AFF33A8" w14:textId="77777777" w:rsidTr="004D2CC4">
        <w:tc>
          <w:tcPr>
            <w:tcW w:w="3686" w:type="dxa"/>
            <w:tcBorders>
              <w:top w:val="single" w:sz="4" w:space="0" w:color="auto"/>
            </w:tcBorders>
          </w:tcPr>
          <w:p w14:paraId="0D563A55"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400889D9"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29D21CD"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01267265"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79,20</w:t>
            </w:r>
          </w:p>
        </w:tc>
      </w:tr>
    </w:tbl>
    <w:p w14:paraId="29E54D92" w14:textId="15DC0AD7" w:rsidR="00B15171" w:rsidRDefault="00B15171">
      <w:pPr>
        <w:spacing w:after="160" w:line="259" w:lineRule="auto"/>
        <w:rPr>
          <w:rFonts w:ascii="Tahoma" w:hAnsi="Tahoma" w:cs="Tahoma"/>
          <w:bCs/>
          <w:i/>
          <w:iCs/>
          <w:sz w:val="20"/>
          <w:szCs w:val="20"/>
          <w:bdr w:val="none" w:sz="0" w:space="0" w:color="auto" w:frame="1"/>
        </w:rPr>
      </w:pPr>
    </w:p>
    <w:p w14:paraId="61C3A55B" w14:textId="125D8C8A"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Ires differita</w:t>
      </w:r>
    </w:p>
    <w:p w14:paraId="5845BD8C" w14:textId="77777777" w:rsidR="000A5632" w:rsidRDefault="000A5632" w:rsidP="00B15171">
      <w:pPr>
        <w:spacing w:after="200" w:line="360" w:lineRule="auto"/>
        <w:jc w:val="both"/>
        <w:rPr>
          <w:rFonts w:ascii="Tahoma" w:hAnsi="Tahoma" w:cs="Tahoma"/>
          <w:sz w:val="20"/>
          <w:szCs w:val="20"/>
        </w:rPr>
      </w:pPr>
    </w:p>
    <w:p w14:paraId="5E67ECBE" w14:textId="10A6A318"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114D43">
        <w:rPr>
          <w:rFonts w:ascii="Tahoma" w:hAnsi="Tahoma" w:cs="Tahoma"/>
          <w:sz w:val="20"/>
          <w:szCs w:val="20"/>
        </w:rPr>
        <w:t>2</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D57E0F" w:rsidRPr="00B15171" w14:paraId="42B2BBD4" w14:textId="77777777" w:rsidTr="004D2CC4">
        <w:tc>
          <w:tcPr>
            <w:tcW w:w="3686" w:type="dxa"/>
            <w:tcBorders>
              <w:top w:val="single" w:sz="4" w:space="0" w:color="auto"/>
            </w:tcBorders>
          </w:tcPr>
          <w:p w14:paraId="29AB8EDE"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3594A953"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330A45B"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1C1DEA50"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15,91</w:t>
            </w:r>
          </w:p>
        </w:tc>
      </w:tr>
    </w:tbl>
    <w:p w14:paraId="5DDC99C4" w14:textId="77777777" w:rsidR="00D57E0F" w:rsidRPr="00B15171" w:rsidRDefault="00D57E0F"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Irap differita</w:t>
      </w:r>
    </w:p>
    <w:p w14:paraId="5F8EB9EE" w14:textId="63CB8E0F" w:rsidR="00B66D28" w:rsidRPr="00B15171" w:rsidRDefault="00D57E0F" w:rsidP="00B15171">
      <w:pPr>
        <w:spacing w:after="200" w:line="360" w:lineRule="auto"/>
        <w:jc w:val="both"/>
        <w:rPr>
          <w:rFonts w:ascii="Tahoma" w:hAnsi="Tahoma" w:cs="Tahoma"/>
          <w:bCs/>
          <w:sz w:val="20"/>
          <w:szCs w:val="20"/>
        </w:rPr>
      </w:pPr>
      <w:r w:rsidRPr="00B15171">
        <w:rPr>
          <w:rFonts w:ascii="Tahoma" w:hAnsi="Tahoma" w:cs="Tahoma"/>
          <w:bCs/>
          <w:sz w:val="20"/>
          <w:szCs w:val="20"/>
        </w:rPr>
        <w:lastRenderedPageBreak/>
        <w:t>In sede di destinazione dell’utile dell’esercizio 202</w:t>
      </w:r>
      <w:r w:rsidR="00114D43">
        <w:rPr>
          <w:rFonts w:ascii="Tahoma" w:hAnsi="Tahoma" w:cs="Tahoma"/>
          <w:bCs/>
          <w:sz w:val="20"/>
          <w:szCs w:val="20"/>
        </w:rPr>
        <w:t>2</w:t>
      </w:r>
      <w:r w:rsidRPr="00B15171">
        <w:rPr>
          <w:rFonts w:ascii="Tahoma" w:hAnsi="Tahoma" w:cs="Tahoma"/>
          <w:bCs/>
          <w:sz w:val="20"/>
          <w:szCs w:val="20"/>
        </w:rPr>
        <w:t xml:space="preserve"> (supponendo ovviamente che questo sia superiore agli ammortamenti non effettuati), la società ha costituito la riserva indisponibile ai sensi del comma 7-</w:t>
      </w:r>
      <w:r w:rsidRPr="00B15171">
        <w:rPr>
          <w:rFonts w:ascii="Tahoma" w:hAnsi="Tahoma" w:cs="Tahoma"/>
          <w:bCs/>
          <w:i/>
          <w:iCs/>
          <w:sz w:val="20"/>
          <w:szCs w:val="20"/>
        </w:rPr>
        <w:t>ter</w:t>
      </w:r>
      <w:r w:rsidRPr="00B15171">
        <w:rPr>
          <w:rFonts w:ascii="Tahoma" w:hAnsi="Tahoma" w:cs="Tahoma"/>
          <w:bCs/>
          <w:sz w:val="20"/>
          <w:szCs w:val="20"/>
        </w:rPr>
        <w:t xml:space="preserve"> dell’art. 60, L. 126/2020.</w:t>
      </w:r>
    </w:p>
    <w:p w14:paraId="4BD79F7D" w14:textId="77777777"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Ammortamenti non eseguiti: 330</w:t>
      </w:r>
    </w:p>
    <w:p w14:paraId="712789EF" w14:textId="3D483312"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Utile dell’esercizio: 500</w:t>
      </w:r>
    </w:p>
    <w:p w14:paraId="1E2C84A5" w14:textId="1315B416" w:rsidR="00D57E0F" w:rsidRPr="00B15171" w:rsidRDefault="00D57E0F" w:rsidP="00B15171">
      <w:pPr>
        <w:spacing w:after="200" w:line="360" w:lineRule="auto"/>
        <w:jc w:val="both"/>
        <w:rPr>
          <w:rFonts w:ascii="Tahoma" w:hAnsi="Tahoma" w:cs="Tahoma"/>
          <w:sz w:val="20"/>
          <w:szCs w:val="20"/>
        </w:rPr>
      </w:pPr>
      <w:r w:rsidRPr="00B15171">
        <w:rPr>
          <w:rFonts w:ascii="Tahoma" w:hAnsi="Tahoma" w:cs="Tahoma"/>
          <w:sz w:val="20"/>
          <w:szCs w:val="20"/>
        </w:rPr>
        <w:t>30/4/202</w:t>
      </w:r>
      <w:r w:rsidR="00114D43">
        <w:rPr>
          <w:rFonts w:ascii="Tahoma" w:hAnsi="Tahoma" w:cs="Tahoma"/>
          <w:sz w:val="20"/>
          <w:szCs w:val="20"/>
        </w:rPr>
        <w:t>3</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D57E0F" w:rsidRPr="00B15171" w14:paraId="52D5AF97" w14:textId="77777777" w:rsidTr="004D2CC4">
        <w:tc>
          <w:tcPr>
            <w:tcW w:w="3331" w:type="dxa"/>
            <w:tcBorders>
              <w:top w:val="single" w:sz="4" w:space="0" w:color="auto"/>
            </w:tcBorders>
          </w:tcPr>
          <w:p w14:paraId="14E39954" w14:textId="42AA734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114D43">
              <w:rPr>
                <w:rFonts w:ascii="Tahoma" w:hAnsi="Tahoma" w:cs="Tahoma"/>
                <w:sz w:val="20"/>
                <w:szCs w:val="20"/>
              </w:rPr>
              <w:t>2</w:t>
            </w:r>
          </w:p>
        </w:tc>
        <w:tc>
          <w:tcPr>
            <w:tcW w:w="567" w:type="dxa"/>
          </w:tcPr>
          <w:p w14:paraId="7A7DD699"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489E966E" w14:textId="77777777" w:rsidR="00D57E0F" w:rsidRPr="00B15171" w:rsidRDefault="00D57E0F" w:rsidP="00B15171">
            <w:pPr>
              <w:tabs>
                <w:tab w:val="left" w:pos="709"/>
              </w:tabs>
              <w:spacing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06FDD4B4"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500</w:t>
            </w:r>
          </w:p>
        </w:tc>
      </w:tr>
      <w:tr w:rsidR="00D57E0F" w:rsidRPr="00B15171" w14:paraId="412D491E" w14:textId="77777777" w:rsidTr="004D2CC4">
        <w:tc>
          <w:tcPr>
            <w:tcW w:w="3331" w:type="dxa"/>
          </w:tcPr>
          <w:p w14:paraId="6ABE2884"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p>
        </w:tc>
        <w:tc>
          <w:tcPr>
            <w:tcW w:w="567" w:type="dxa"/>
          </w:tcPr>
          <w:p w14:paraId="1C25490A"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5D6FCC7D"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2504B8AB"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330</w:t>
            </w:r>
          </w:p>
        </w:tc>
      </w:tr>
      <w:tr w:rsidR="00D57E0F" w:rsidRPr="00B15171" w14:paraId="4A4BE2EF" w14:textId="77777777" w:rsidTr="004D2CC4">
        <w:tc>
          <w:tcPr>
            <w:tcW w:w="3331" w:type="dxa"/>
          </w:tcPr>
          <w:p w14:paraId="015AEB4E"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p>
        </w:tc>
        <w:tc>
          <w:tcPr>
            <w:tcW w:w="567" w:type="dxa"/>
          </w:tcPr>
          <w:p w14:paraId="1801B5ED" w14:textId="77777777" w:rsidR="00D57E0F" w:rsidRPr="00B15171" w:rsidRDefault="00D57E0F"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14AD0D7C" w14:textId="77777777" w:rsidR="00D57E0F" w:rsidRPr="00B15171" w:rsidRDefault="00D57E0F"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4DEAF87E" w14:textId="77777777" w:rsidR="00D57E0F" w:rsidRPr="00B15171" w:rsidRDefault="00D57E0F"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170</w:t>
            </w:r>
          </w:p>
        </w:tc>
      </w:tr>
    </w:tbl>
    <w:p w14:paraId="77D10525" w14:textId="201548FB" w:rsidR="00CE29A8" w:rsidRPr="00B15171" w:rsidRDefault="00CE29A8"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Destinazione dell’Utile d’esercizio 202</w:t>
      </w:r>
      <w:r w:rsidR="00114D43">
        <w:rPr>
          <w:rFonts w:ascii="Tahoma" w:hAnsi="Tahoma" w:cs="Tahoma"/>
          <w:bCs/>
          <w:i/>
          <w:iCs/>
          <w:sz w:val="20"/>
          <w:szCs w:val="20"/>
          <w:bdr w:val="none" w:sz="0" w:space="0" w:color="auto" w:frame="1"/>
        </w:rPr>
        <w:t>2</w:t>
      </w:r>
    </w:p>
    <w:p w14:paraId="5C4DD539" w14:textId="77777777" w:rsidR="00D57E0F" w:rsidRPr="00B15171" w:rsidRDefault="00D57E0F" w:rsidP="00B15171">
      <w:pPr>
        <w:spacing w:after="200" w:line="360" w:lineRule="auto"/>
        <w:jc w:val="both"/>
        <w:rPr>
          <w:rFonts w:ascii="Tahoma" w:hAnsi="Tahoma" w:cs="Tahoma"/>
          <w:sz w:val="20"/>
          <w:szCs w:val="20"/>
        </w:rPr>
      </w:pPr>
    </w:p>
    <w:p w14:paraId="729BBE05" w14:textId="6B9D8505" w:rsidR="00B66D28" w:rsidRPr="00B15171" w:rsidRDefault="007E2571" w:rsidP="00B15171">
      <w:pPr>
        <w:spacing w:after="200" w:line="360" w:lineRule="auto"/>
        <w:jc w:val="both"/>
        <w:rPr>
          <w:rFonts w:ascii="Tahoma" w:hAnsi="Tahoma" w:cs="Tahoma"/>
          <w:bCs/>
          <w:sz w:val="20"/>
          <w:szCs w:val="20"/>
        </w:rPr>
      </w:pPr>
      <w:r w:rsidRPr="00B15171">
        <w:rPr>
          <w:rFonts w:ascii="Tahoma" w:hAnsi="Tahoma" w:cs="Tahoma"/>
          <w:bCs/>
          <w:sz w:val="20"/>
          <w:szCs w:val="20"/>
        </w:rPr>
        <w:t>La società non esegue nessun ammortamento nemmeno nell’anno 202</w:t>
      </w:r>
      <w:r w:rsidR="00114D43">
        <w:rPr>
          <w:rFonts w:ascii="Tahoma" w:hAnsi="Tahoma" w:cs="Tahoma"/>
          <w:bCs/>
          <w:sz w:val="20"/>
          <w:szCs w:val="20"/>
        </w:rPr>
        <w:t>3</w:t>
      </w:r>
      <w:r w:rsidRPr="00B15171">
        <w:rPr>
          <w:rFonts w:ascii="Tahoma" w:hAnsi="Tahoma" w:cs="Tahoma"/>
          <w:bCs/>
          <w:sz w:val="20"/>
          <w:szCs w:val="20"/>
        </w:rPr>
        <w:t>.</w:t>
      </w:r>
    </w:p>
    <w:p w14:paraId="542F8E1A" w14:textId="150507BB" w:rsidR="00373534" w:rsidRPr="00B15171" w:rsidRDefault="00373534" w:rsidP="00B15171">
      <w:pPr>
        <w:spacing w:after="200" w:line="360" w:lineRule="auto"/>
        <w:jc w:val="both"/>
        <w:rPr>
          <w:rFonts w:ascii="Tahoma" w:hAnsi="Tahoma" w:cs="Tahoma"/>
          <w:bCs/>
          <w:sz w:val="20"/>
          <w:szCs w:val="20"/>
        </w:rPr>
      </w:pPr>
      <w:r w:rsidRPr="00B15171">
        <w:rPr>
          <w:rFonts w:ascii="Tahoma" w:hAnsi="Tahoma" w:cs="Tahoma"/>
          <w:bCs/>
          <w:sz w:val="20"/>
          <w:szCs w:val="20"/>
        </w:rPr>
        <w:t>In base al piano originario, l’ammortamento dell’esercizio</w:t>
      </w:r>
      <w:r w:rsidR="009C2A6F" w:rsidRPr="00B15171">
        <w:rPr>
          <w:rFonts w:ascii="Tahoma" w:hAnsi="Tahoma" w:cs="Tahoma"/>
          <w:bCs/>
          <w:sz w:val="20"/>
          <w:szCs w:val="20"/>
        </w:rPr>
        <w:t xml:space="preserve"> 202</w:t>
      </w:r>
      <w:r w:rsidR="00114D43">
        <w:rPr>
          <w:rFonts w:ascii="Tahoma" w:hAnsi="Tahoma" w:cs="Tahoma"/>
          <w:bCs/>
          <w:sz w:val="20"/>
          <w:szCs w:val="20"/>
        </w:rPr>
        <w:t>3</w:t>
      </w:r>
      <w:r w:rsidRPr="00B15171">
        <w:rPr>
          <w:rFonts w:ascii="Tahoma" w:hAnsi="Tahoma" w:cs="Tahoma"/>
          <w:bCs/>
          <w:sz w:val="20"/>
          <w:szCs w:val="20"/>
        </w:rPr>
        <w:t xml:space="preserve"> era pari a 280.</w:t>
      </w:r>
    </w:p>
    <w:p w14:paraId="0D46E565" w14:textId="385A7DDE" w:rsidR="00373534" w:rsidRPr="00B15171" w:rsidRDefault="00373534" w:rsidP="00B15171">
      <w:pPr>
        <w:spacing w:after="200" w:line="360" w:lineRule="auto"/>
        <w:jc w:val="both"/>
        <w:rPr>
          <w:rFonts w:ascii="Tahoma" w:hAnsi="Tahoma" w:cs="Tahoma"/>
          <w:bCs/>
          <w:sz w:val="20"/>
          <w:szCs w:val="20"/>
        </w:rPr>
      </w:pPr>
      <w:r w:rsidRPr="00B15171">
        <w:rPr>
          <w:rFonts w:ascii="Tahoma" w:hAnsi="Tahoma" w:cs="Tahoma"/>
          <w:bCs/>
          <w:sz w:val="20"/>
          <w:szCs w:val="20"/>
        </w:rPr>
        <w:t xml:space="preserve">Qualora la società opti comunque per la deduzione </w:t>
      </w:r>
      <w:r w:rsidR="00A22E30" w:rsidRPr="00B15171">
        <w:rPr>
          <w:rFonts w:ascii="Tahoma" w:hAnsi="Tahoma" w:cs="Tahoma"/>
          <w:bCs/>
          <w:sz w:val="20"/>
          <w:szCs w:val="20"/>
        </w:rPr>
        <w:t>degli ammortamenti</w:t>
      </w:r>
      <w:r w:rsidRPr="00B15171">
        <w:rPr>
          <w:rFonts w:ascii="Tahoma" w:hAnsi="Tahoma" w:cs="Tahoma"/>
          <w:bCs/>
          <w:sz w:val="20"/>
          <w:szCs w:val="20"/>
        </w:rPr>
        <w:t xml:space="preserve"> dalle imposte dirette, a prescindere dall’imputazione a conto economico, in sede di chiusura di bilancio occorrerà quindi calcolare le imposte differite.</w:t>
      </w:r>
    </w:p>
    <w:p w14:paraId="0A6D0E86" w14:textId="53703777" w:rsidR="00373534" w:rsidRPr="00B15171" w:rsidRDefault="00373534" w:rsidP="00B15171">
      <w:pPr>
        <w:spacing w:after="200" w:line="360" w:lineRule="auto"/>
        <w:jc w:val="both"/>
        <w:rPr>
          <w:rFonts w:ascii="Tahoma" w:hAnsi="Tahoma" w:cs="Tahoma"/>
          <w:bCs/>
          <w:sz w:val="20"/>
          <w:szCs w:val="20"/>
        </w:rPr>
      </w:pPr>
      <w:r w:rsidRPr="00B15171">
        <w:rPr>
          <w:rFonts w:ascii="Tahoma" w:hAnsi="Tahoma" w:cs="Tahoma"/>
          <w:bCs/>
          <w:sz w:val="20"/>
          <w:szCs w:val="20"/>
        </w:rPr>
        <w:t>Pertanto si avrà:</w:t>
      </w:r>
    </w:p>
    <w:p w14:paraId="084E0369" w14:textId="5330F6F4"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Ammortamenti non eseguiti ma dedotti: </w:t>
      </w:r>
      <w:r w:rsidR="00A84E1D" w:rsidRPr="00B15171">
        <w:rPr>
          <w:rFonts w:ascii="Tahoma" w:hAnsi="Tahoma" w:cs="Tahoma"/>
          <w:bCs/>
          <w:iCs/>
          <w:sz w:val="20"/>
          <w:szCs w:val="20"/>
          <w:bdr w:val="none" w:sz="0" w:space="0" w:color="auto" w:frame="1"/>
        </w:rPr>
        <w:t>28</w:t>
      </w:r>
      <w:r w:rsidRPr="00B15171">
        <w:rPr>
          <w:rFonts w:ascii="Tahoma" w:hAnsi="Tahoma" w:cs="Tahoma"/>
          <w:bCs/>
          <w:iCs/>
          <w:sz w:val="20"/>
          <w:szCs w:val="20"/>
          <w:bdr w:val="none" w:sz="0" w:space="0" w:color="auto" w:frame="1"/>
        </w:rPr>
        <w:t>0</w:t>
      </w:r>
    </w:p>
    <w:p w14:paraId="33E5965B" w14:textId="3A937437"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Ires differita (24%): </w:t>
      </w:r>
      <w:r w:rsidR="00A84E1D" w:rsidRPr="00B15171">
        <w:rPr>
          <w:rFonts w:ascii="Tahoma" w:hAnsi="Tahoma" w:cs="Tahoma"/>
          <w:bCs/>
          <w:iCs/>
          <w:sz w:val="20"/>
          <w:szCs w:val="20"/>
          <w:bdr w:val="none" w:sz="0" w:space="0" w:color="auto" w:frame="1"/>
        </w:rPr>
        <w:t>67,20</w:t>
      </w:r>
    </w:p>
    <w:p w14:paraId="0AD27FC2" w14:textId="06859514"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Irap differita (4,82%): </w:t>
      </w:r>
      <w:r w:rsidR="00A84E1D" w:rsidRPr="00B15171">
        <w:rPr>
          <w:rFonts w:ascii="Tahoma" w:hAnsi="Tahoma" w:cs="Tahoma"/>
          <w:bCs/>
          <w:iCs/>
          <w:sz w:val="20"/>
          <w:szCs w:val="20"/>
          <w:bdr w:val="none" w:sz="0" w:space="0" w:color="auto" w:frame="1"/>
        </w:rPr>
        <w:t>13,50</w:t>
      </w:r>
    </w:p>
    <w:p w14:paraId="5331DAFF" w14:textId="3F94AD61"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Le scritture contabili saranno le seguenti:</w:t>
      </w:r>
    </w:p>
    <w:p w14:paraId="3AAB3C8F" w14:textId="7D064E99" w:rsidR="00373534" w:rsidRPr="00B15171" w:rsidRDefault="00373534"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114D43">
        <w:rPr>
          <w:rFonts w:ascii="Tahoma" w:hAnsi="Tahoma" w:cs="Tahoma"/>
          <w:sz w:val="20"/>
          <w:szCs w:val="20"/>
        </w:rPr>
        <w:t>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373534" w:rsidRPr="00B15171" w14:paraId="44177257" w14:textId="77777777" w:rsidTr="004D2CC4">
        <w:tc>
          <w:tcPr>
            <w:tcW w:w="3686" w:type="dxa"/>
            <w:tcBorders>
              <w:top w:val="single" w:sz="4" w:space="0" w:color="auto"/>
            </w:tcBorders>
          </w:tcPr>
          <w:p w14:paraId="563EFE35"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Imposte differite (E 20)</w:t>
            </w:r>
          </w:p>
        </w:tc>
        <w:tc>
          <w:tcPr>
            <w:tcW w:w="567" w:type="dxa"/>
          </w:tcPr>
          <w:p w14:paraId="49AB234D" w14:textId="77777777" w:rsidR="00373534" w:rsidRPr="00B15171" w:rsidRDefault="00373534"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457617F7"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5E823426" w14:textId="4621C3D3" w:rsidR="00373534" w:rsidRPr="00B15171" w:rsidRDefault="00A84E1D"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67,20</w:t>
            </w:r>
          </w:p>
        </w:tc>
      </w:tr>
    </w:tbl>
    <w:p w14:paraId="528A59F5" w14:textId="77777777"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Ires differita</w:t>
      </w:r>
    </w:p>
    <w:p w14:paraId="65FA5642" w14:textId="77777777" w:rsidR="00A84E1D" w:rsidRPr="00B15171" w:rsidRDefault="00A84E1D"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p>
    <w:p w14:paraId="31959920" w14:textId="7602303A" w:rsidR="00373534" w:rsidRPr="00B15171" w:rsidRDefault="00373534"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114D43">
        <w:rPr>
          <w:rFonts w:ascii="Tahoma" w:hAnsi="Tahoma" w:cs="Tahoma"/>
          <w:sz w:val="20"/>
          <w:szCs w:val="20"/>
        </w:rPr>
        <w:t>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373534" w:rsidRPr="00B15171" w14:paraId="3F6883EB" w14:textId="77777777" w:rsidTr="004D2CC4">
        <w:tc>
          <w:tcPr>
            <w:tcW w:w="3686" w:type="dxa"/>
            <w:tcBorders>
              <w:top w:val="single" w:sz="4" w:space="0" w:color="auto"/>
            </w:tcBorders>
          </w:tcPr>
          <w:p w14:paraId="532020B0"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lastRenderedPageBreak/>
              <w:t>Imposte differite (E 20)</w:t>
            </w:r>
          </w:p>
        </w:tc>
        <w:tc>
          <w:tcPr>
            <w:tcW w:w="567" w:type="dxa"/>
          </w:tcPr>
          <w:p w14:paraId="1292E565" w14:textId="77777777" w:rsidR="00373534" w:rsidRPr="00B15171" w:rsidRDefault="00373534"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87704EC" w14:textId="77777777" w:rsidR="00373534" w:rsidRPr="00B15171" w:rsidRDefault="00373534"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1559" w:type="dxa"/>
          </w:tcPr>
          <w:p w14:paraId="7904922B" w14:textId="62DC883F" w:rsidR="00373534" w:rsidRPr="00B15171" w:rsidRDefault="00A84E1D"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13,50</w:t>
            </w:r>
          </w:p>
        </w:tc>
      </w:tr>
    </w:tbl>
    <w:p w14:paraId="2799916F" w14:textId="77777777" w:rsidR="00373534" w:rsidRPr="00B15171" w:rsidRDefault="00373534"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rilevazione Irap differita</w:t>
      </w:r>
    </w:p>
    <w:p w14:paraId="2F9C87B6" w14:textId="230F13CE" w:rsidR="00B66D28" w:rsidRPr="00B15171" w:rsidRDefault="00B66D28" w:rsidP="00B15171">
      <w:pPr>
        <w:spacing w:after="200" w:line="360" w:lineRule="auto"/>
        <w:jc w:val="both"/>
        <w:rPr>
          <w:rFonts w:ascii="Tahoma" w:hAnsi="Tahoma" w:cs="Tahoma"/>
          <w:bCs/>
          <w:sz w:val="20"/>
          <w:szCs w:val="20"/>
        </w:rPr>
      </w:pPr>
    </w:p>
    <w:p w14:paraId="45D1C5D0" w14:textId="3BD9F50B"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Quindi il Fondo Imposte Differite (B2)</w:t>
      </w:r>
      <w:r w:rsidR="00A22E30" w:rsidRPr="00B15171">
        <w:rPr>
          <w:rFonts w:ascii="Tahoma" w:hAnsi="Tahoma" w:cs="Tahoma"/>
          <w:bCs/>
          <w:sz w:val="20"/>
          <w:szCs w:val="20"/>
        </w:rPr>
        <w:t xml:space="preserve"> complessivo</w:t>
      </w:r>
      <w:r w:rsidRPr="00B15171">
        <w:rPr>
          <w:rFonts w:ascii="Tahoma" w:hAnsi="Tahoma" w:cs="Tahoma"/>
          <w:bCs/>
          <w:sz w:val="20"/>
          <w:szCs w:val="20"/>
        </w:rPr>
        <w:t>, dopo le scritture 202</w:t>
      </w:r>
      <w:r w:rsidR="00114D43">
        <w:rPr>
          <w:rFonts w:ascii="Tahoma" w:hAnsi="Tahoma" w:cs="Tahoma"/>
          <w:bCs/>
          <w:sz w:val="20"/>
          <w:szCs w:val="20"/>
        </w:rPr>
        <w:t>2</w:t>
      </w:r>
      <w:r w:rsidRPr="00B15171">
        <w:rPr>
          <w:rFonts w:ascii="Tahoma" w:hAnsi="Tahoma" w:cs="Tahoma"/>
          <w:bCs/>
          <w:sz w:val="20"/>
          <w:szCs w:val="20"/>
        </w:rPr>
        <w:t xml:space="preserve"> e 202</w:t>
      </w:r>
      <w:r w:rsidR="00114D43">
        <w:rPr>
          <w:rFonts w:ascii="Tahoma" w:hAnsi="Tahoma" w:cs="Tahoma"/>
          <w:bCs/>
          <w:sz w:val="20"/>
          <w:szCs w:val="20"/>
        </w:rPr>
        <w:t>3</w:t>
      </w:r>
      <w:r w:rsidRPr="00B15171">
        <w:rPr>
          <w:rFonts w:ascii="Tahoma" w:hAnsi="Tahoma" w:cs="Tahoma"/>
          <w:bCs/>
          <w:sz w:val="20"/>
          <w:szCs w:val="20"/>
        </w:rPr>
        <w:t>, sarà il seguente:</w:t>
      </w:r>
    </w:p>
    <w:tbl>
      <w:tblPr>
        <w:tblStyle w:val="Grigliatabella"/>
        <w:tblW w:w="0" w:type="auto"/>
        <w:jc w:val="center"/>
        <w:tblLook w:val="04A0" w:firstRow="1" w:lastRow="0" w:firstColumn="1" w:lastColumn="0" w:noHBand="0" w:noVBand="1"/>
      </w:tblPr>
      <w:tblGrid>
        <w:gridCol w:w="3681"/>
        <w:gridCol w:w="2268"/>
      </w:tblGrid>
      <w:tr w:rsidR="00A84E1D" w:rsidRPr="00B15171" w14:paraId="4D857BE3" w14:textId="77777777" w:rsidTr="00B15171">
        <w:trPr>
          <w:jc w:val="center"/>
        </w:trPr>
        <w:tc>
          <w:tcPr>
            <w:tcW w:w="3681" w:type="dxa"/>
          </w:tcPr>
          <w:p w14:paraId="1A53A6FE" w14:textId="339A8542" w:rsidR="00A84E1D" w:rsidRPr="00B15171" w:rsidRDefault="00A84E1D" w:rsidP="002026C0">
            <w:pPr>
              <w:spacing w:before="60" w:after="60" w:line="326" w:lineRule="auto"/>
              <w:jc w:val="both"/>
              <w:rPr>
                <w:rFonts w:ascii="Tahoma" w:hAnsi="Tahoma" w:cs="Tahoma"/>
                <w:bCs/>
                <w:sz w:val="20"/>
                <w:szCs w:val="20"/>
              </w:rPr>
            </w:pPr>
            <w:r w:rsidRPr="00B15171">
              <w:rPr>
                <w:rFonts w:ascii="Tahoma" w:hAnsi="Tahoma" w:cs="Tahoma"/>
                <w:bCs/>
                <w:sz w:val="20"/>
                <w:szCs w:val="20"/>
              </w:rPr>
              <w:t>Ires 202</w:t>
            </w:r>
            <w:r w:rsidR="00114D43">
              <w:rPr>
                <w:rFonts w:ascii="Tahoma" w:hAnsi="Tahoma" w:cs="Tahoma"/>
                <w:bCs/>
                <w:sz w:val="20"/>
                <w:szCs w:val="20"/>
              </w:rPr>
              <w:t>2</w:t>
            </w:r>
          </w:p>
        </w:tc>
        <w:tc>
          <w:tcPr>
            <w:tcW w:w="2268" w:type="dxa"/>
          </w:tcPr>
          <w:p w14:paraId="163A16B3" w14:textId="5DA5424B" w:rsidR="00A84E1D" w:rsidRPr="00B15171" w:rsidRDefault="00A84E1D" w:rsidP="002026C0">
            <w:pPr>
              <w:spacing w:before="60" w:after="60" w:line="326" w:lineRule="auto"/>
              <w:jc w:val="right"/>
              <w:rPr>
                <w:rFonts w:ascii="Tahoma" w:hAnsi="Tahoma" w:cs="Tahoma"/>
                <w:bCs/>
                <w:sz w:val="20"/>
                <w:szCs w:val="20"/>
              </w:rPr>
            </w:pPr>
            <w:r w:rsidRPr="00B15171">
              <w:rPr>
                <w:rFonts w:ascii="Tahoma" w:hAnsi="Tahoma" w:cs="Tahoma"/>
                <w:bCs/>
                <w:sz w:val="20"/>
                <w:szCs w:val="20"/>
              </w:rPr>
              <w:t>79,20</w:t>
            </w:r>
          </w:p>
        </w:tc>
      </w:tr>
      <w:tr w:rsidR="00A84E1D" w:rsidRPr="00B15171" w14:paraId="705892CD" w14:textId="77777777" w:rsidTr="00B15171">
        <w:trPr>
          <w:jc w:val="center"/>
        </w:trPr>
        <w:tc>
          <w:tcPr>
            <w:tcW w:w="3681" w:type="dxa"/>
          </w:tcPr>
          <w:p w14:paraId="14EE8969" w14:textId="49F6FBC9" w:rsidR="00A84E1D" w:rsidRPr="00B15171" w:rsidRDefault="00A84E1D" w:rsidP="002026C0">
            <w:pPr>
              <w:spacing w:before="60" w:after="60" w:line="326" w:lineRule="auto"/>
              <w:jc w:val="both"/>
              <w:rPr>
                <w:rFonts w:ascii="Tahoma" w:hAnsi="Tahoma" w:cs="Tahoma"/>
                <w:bCs/>
                <w:sz w:val="20"/>
                <w:szCs w:val="20"/>
              </w:rPr>
            </w:pPr>
            <w:r w:rsidRPr="00B15171">
              <w:rPr>
                <w:rFonts w:ascii="Tahoma" w:hAnsi="Tahoma" w:cs="Tahoma"/>
                <w:bCs/>
                <w:sz w:val="20"/>
                <w:szCs w:val="20"/>
              </w:rPr>
              <w:t>Irap 202</w:t>
            </w:r>
            <w:r w:rsidR="00114D43">
              <w:rPr>
                <w:rFonts w:ascii="Tahoma" w:hAnsi="Tahoma" w:cs="Tahoma"/>
                <w:bCs/>
                <w:sz w:val="20"/>
                <w:szCs w:val="20"/>
              </w:rPr>
              <w:t>2</w:t>
            </w:r>
          </w:p>
        </w:tc>
        <w:tc>
          <w:tcPr>
            <w:tcW w:w="2268" w:type="dxa"/>
          </w:tcPr>
          <w:p w14:paraId="1E1A41BC" w14:textId="00B4F347" w:rsidR="00A84E1D" w:rsidRPr="00B15171" w:rsidRDefault="00A84E1D" w:rsidP="002026C0">
            <w:pPr>
              <w:spacing w:before="60" w:after="60" w:line="326" w:lineRule="auto"/>
              <w:jc w:val="right"/>
              <w:rPr>
                <w:rFonts w:ascii="Tahoma" w:hAnsi="Tahoma" w:cs="Tahoma"/>
                <w:bCs/>
                <w:sz w:val="20"/>
                <w:szCs w:val="20"/>
              </w:rPr>
            </w:pPr>
            <w:r w:rsidRPr="00B15171">
              <w:rPr>
                <w:rFonts w:ascii="Tahoma" w:hAnsi="Tahoma" w:cs="Tahoma"/>
                <w:bCs/>
                <w:sz w:val="20"/>
                <w:szCs w:val="20"/>
              </w:rPr>
              <w:t>15,91</w:t>
            </w:r>
          </w:p>
        </w:tc>
      </w:tr>
      <w:tr w:rsidR="00A84E1D" w:rsidRPr="00B15171" w14:paraId="6DFE437B" w14:textId="77777777" w:rsidTr="00B15171">
        <w:trPr>
          <w:jc w:val="center"/>
        </w:trPr>
        <w:tc>
          <w:tcPr>
            <w:tcW w:w="3681" w:type="dxa"/>
          </w:tcPr>
          <w:p w14:paraId="05D8AC4D" w14:textId="23261A73" w:rsidR="00A84E1D" w:rsidRPr="00B15171" w:rsidRDefault="00A84E1D" w:rsidP="002026C0">
            <w:pPr>
              <w:spacing w:before="60" w:after="60" w:line="326" w:lineRule="auto"/>
              <w:jc w:val="both"/>
              <w:rPr>
                <w:rFonts w:ascii="Tahoma" w:hAnsi="Tahoma" w:cs="Tahoma"/>
                <w:bCs/>
                <w:sz w:val="20"/>
                <w:szCs w:val="20"/>
              </w:rPr>
            </w:pPr>
            <w:r w:rsidRPr="00B15171">
              <w:rPr>
                <w:rFonts w:ascii="Tahoma" w:hAnsi="Tahoma" w:cs="Tahoma"/>
                <w:bCs/>
                <w:sz w:val="20"/>
                <w:szCs w:val="20"/>
              </w:rPr>
              <w:t>Ires 202</w:t>
            </w:r>
            <w:r w:rsidR="00114D43">
              <w:rPr>
                <w:rFonts w:ascii="Tahoma" w:hAnsi="Tahoma" w:cs="Tahoma"/>
                <w:bCs/>
                <w:sz w:val="20"/>
                <w:szCs w:val="20"/>
              </w:rPr>
              <w:t>3</w:t>
            </w:r>
          </w:p>
        </w:tc>
        <w:tc>
          <w:tcPr>
            <w:tcW w:w="2268" w:type="dxa"/>
          </w:tcPr>
          <w:p w14:paraId="6456B8D9" w14:textId="52F32824" w:rsidR="00A84E1D" w:rsidRPr="00B15171" w:rsidRDefault="00A84E1D" w:rsidP="002026C0">
            <w:pPr>
              <w:spacing w:before="60" w:after="60" w:line="326" w:lineRule="auto"/>
              <w:jc w:val="right"/>
              <w:rPr>
                <w:rFonts w:ascii="Tahoma" w:hAnsi="Tahoma" w:cs="Tahoma"/>
                <w:bCs/>
                <w:sz w:val="20"/>
                <w:szCs w:val="20"/>
              </w:rPr>
            </w:pPr>
            <w:r w:rsidRPr="00B15171">
              <w:rPr>
                <w:rFonts w:ascii="Tahoma" w:hAnsi="Tahoma" w:cs="Tahoma"/>
                <w:bCs/>
                <w:sz w:val="20"/>
                <w:szCs w:val="20"/>
              </w:rPr>
              <w:t>67,20</w:t>
            </w:r>
          </w:p>
        </w:tc>
      </w:tr>
      <w:tr w:rsidR="00A84E1D" w:rsidRPr="00B15171" w14:paraId="3E2D3120" w14:textId="77777777" w:rsidTr="00B15171">
        <w:trPr>
          <w:jc w:val="center"/>
        </w:trPr>
        <w:tc>
          <w:tcPr>
            <w:tcW w:w="3681" w:type="dxa"/>
            <w:tcBorders>
              <w:bottom w:val="single" w:sz="4" w:space="0" w:color="auto"/>
            </w:tcBorders>
          </w:tcPr>
          <w:p w14:paraId="0A7B286C" w14:textId="07D16BBF" w:rsidR="00A84E1D" w:rsidRPr="00B15171" w:rsidRDefault="00A84E1D" w:rsidP="002026C0">
            <w:pPr>
              <w:spacing w:before="60" w:after="60" w:line="326" w:lineRule="auto"/>
              <w:jc w:val="both"/>
              <w:rPr>
                <w:rFonts w:ascii="Tahoma" w:hAnsi="Tahoma" w:cs="Tahoma"/>
                <w:bCs/>
                <w:sz w:val="20"/>
                <w:szCs w:val="20"/>
              </w:rPr>
            </w:pPr>
            <w:r w:rsidRPr="00B15171">
              <w:rPr>
                <w:rFonts w:ascii="Tahoma" w:hAnsi="Tahoma" w:cs="Tahoma"/>
                <w:bCs/>
                <w:sz w:val="20"/>
                <w:szCs w:val="20"/>
              </w:rPr>
              <w:t>Irap 202</w:t>
            </w:r>
            <w:r w:rsidR="00114D43">
              <w:rPr>
                <w:rFonts w:ascii="Tahoma" w:hAnsi="Tahoma" w:cs="Tahoma"/>
                <w:bCs/>
                <w:sz w:val="20"/>
                <w:szCs w:val="20"/>
              </w:rPr>
              <w:t>3</w:t>
            </w:r>
          </w:p>
        </w:tc>
        <w:tc>
          <w:tcPr>
            <w:tcW w:w="2268" w:type="dxa"/>
          </w:tcPr>
          <w:p w14:paraId="31CA6FBB" w14:textId="03889538" w:rsidR="00A84E1D" w:rsidRPr="00B15171" w:rsidRDefault="00A84E1D" w:rsidP="002026C0">
            <w:pPr>
              <w:spacing w:before="60" w:after="60" w:line="326" w:lineRule="auto"/>
              <w:jc w:val="right"/>
              <w:rPr>
                <w:rFonts w:ascii="Tahoma" w:hAnsi="Tahoma" w:cs="Tahoma"/>
                <w:bCs/>
                <w:sz w:val="20"/>
                <w:szCs w:val="20"/>
              </w:rPr>
            </w:pPr>
            <w:r w:rsidRPr="00B15171">
              <w:rPr>
                <w:rFonts w:ascii="Tahoma" w:hAnsi="Tahoma" w:cs="Tahoma"/>
                <w:bCs/>
                <w:sz w:val="20"/>
                <w:szCs w:val="20"/>
              </w:rPr>
              <w:t>13,50</w:t>
            </w:r>
          </w:p>
        </w:tc>
      </w:tr>
      <w:tr w:rsidR="00A84E1D" w:rsidRPr="00B15171" w14:paraId="30332C9E" w14:textId="77777777" w:rsidTr="00B15171">
        <w:trPr>
          <w:jc w:val="center"/>
        </w:trPr>
        <w:tc>
          <w:tcPr>
            <w:tcW w:w="3681" w:type="dxa"/>
            <w:tcBorders>
              <w:left w:val="nil"/>
              <w:bottom w:val="nil"/>
            </w:tcBorders>
          </w:tcPr>
          <w:p w14:paraId="7B653D8E" w14:textId="081F3A2F" w:rsidR="00A84E1D" w:rsidRPr="00B15171" w:rsidRDefault="00A84E1D" w:rsidP="002026C0">
            <w:pPr>
              <w:spacing w:before="60" w:after="60" w:line="326" w:lineRule="auto"/>
              <w:jc w:val="right"/>
              <w:rPr>
                <w:rFonts w:ascii="Tahoma" w:hAnsi="Tahoma" w:cs="Tahoma"/>
                <w:bCs/>
                <w:i/>
                <w:iCs/>
                <w:sz w:val="20"/>
                <w:szCs w:val="20"/>
              </w:rPr>
            </w:pPr>
            <w:r w:rsidRPr="00B15171">
              <w:rPr>
                <w:rFonts w:ascii="Tahoma" w:hAnsi="Tahoma" w:cs="Tahoma"/>
                <w:bCs/>
                <w:i/>
                <w:iCs/>
                <w:sz w:val="20"/>
                <w:szCs w:val="20"/>
              </w:rPr>
              <w:t>Totale al 31/12/202</w:t>
            </w:r>
            <w:r w:rsidR="00114D43">
              <w:rPr>
                <w:rFonts w:ascii="Tahoma" w:hAnsi="Tahoma" w:cs="Tahoma"/>
                <w:bCs/>
                <w:i/>
                <w:iCs/>
                <w:sz w:val="20"/>
                <w:szCs w:val="20"/>
              </w:rPr>
              <w:t>3</w:t>
            </w:r>
          </w:p>
        </w:tc>
        <w:tc>
          <w:tcPr>
            <w:tcW w:w="2268" w:type="dxa"/>
          </w:tcPr>
          <w:p w14:paraId="75F76D90" w14:textId="4ECEFB30" w:rsidR="00A84E1D" w:rsidRPr="00B15171" w:rsidRDefault="00A84E1D" w:rsidP="002026C0">
            <w:pPr>
              <w:spacing w:before="60" w:after="60" w:line="326" w:lineRule="auto"/>
              <w:jc w:val="right"/>
              <w:rPr>
                <w:rFonts w:ascii="Tahoma" w:hAnsi="Tahoma" w:cs="Tahoma"/>
                <w:bCs/>
                <w:i/>
                <w:iCs/>
                <w:sz w:val="20"/>
                <w:szCs w:val="20"/>
              </w:rPr>
            </w:pPr>
            <w:r w:rsidRPr="00B15171">
              <w:rPr>
                <w:rFonts w:ascii="Tahoma" w:hAnsi="Tahoma" w:cs="Tahoma"/>
                <w:bCs/>
                <w:i/>
                <w:iCs/>
                <w:sz w:val="20"/>
                <w:szCs w:val="20"/>
              </w:rPr>
              <w:fldChar w:fldCharType="begin"/>
            </w:r>
            <w:r w:rsidRPr="00B15171">
              <w:rPr>
                <w:rFonts w:ascii="Tahoma" w:hAnsi="Tahoma" w:cs="Tahoma"/>
                <w:bCs/>
                <w:i/>
                <w:iCs/>
                <w:sz w:val="20"/>
                <w:szCs w:val="20"/>
              </w:rPr>
              <w:instrText xml:space="preserve"> =SUM(ABOVE) </w:instrText>
            </w:r>
            <w:r w:rsidRPr="00B15171">
              <w:rPr>
                <w:rFonts w:ascii="Tahoma" w:hAnsi="Tahoma" w:cs="Tahoma"/>
                <w:bCs/>
                <w:i/>
                <w:iCs/>
                <w:sz w:val="20"/>
                <w:szCs w:val="20"/>
              </w:rPr>
              <w:fldChar w:fldCharType="separate"/>
            </w:r>
            <w:r w:rsidRPr="00B15171">
              <w:rPr>
                <w:rFonts w:ascii="Tahoma" w:hAnsi="Tahoma" w:cs="Tahoma"/>
                <w:bCs/>
                <w:i/>
                <w:iCs/>
                <w:noProof/>
                <w:sz w:val="20"/>
                <w:szCs w:val="20"/>
              </w:rPr>
              <w:t>175,81</w:t>
            </w:r>
            <w:r w:rsidRPr="00B15171">
              <w:rPr>
                <w:rFonts w:ascii="Tahoma" w:hAnsi="Tahoma" w:cs="Tahoma"/>
                <w:bCs/>
                <w:i/>
                <w:iCs/>
                <w:sz w:val="20"/>
                <w:szCs w:val="20"/>
              </w:rPr>
              <w:fldChar w:fldCharType="end"/>
            </w:r>
          </w:p>
        </w:tc>
      </w:tr>
    </w:tbl>
    <w:p w14:paraId="2D58E676" w14:textId="77777777" w:rsidR="00A84E1D" w:rsidRPr="00B15171" w:rsidRDefault="00A84E1D" w:rsidP="00B15171">
      <w:pPr>
        <w:spacing w:after="200" w:line="360" w:lineRule="auto"/>
        <w:jc w:val="both"/>
        <w:rPr>
          <w:rFonts w:ascii="Tahoma" w:hAnsi="Tahoma" w:cs="Tahoma"/>
          <w:bCs/>
          <w:sz w:val="20"/>
          <w:szCs w:val="20"/>
        </w:rPr>
      </w:pPr>
    </w:p>
    <w:p w14:paraId="6A7880BE" w14:textId="3107CE9A"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In sede di approvazione del bilancio 202</w:t>
      </w:r>
      <w:r w:rsidR="00114D43">
        <w:rPr>
          <w:rFonts w:ascii="Tahoma" w:hAnsi="Tahoma" w:cs="Tahoma"/>
          <w:bCs/>
          <w:sz w:val="20"/>
          <w:szCs w:val="20"/>
        </w:rPr>
        <w:t>3</w:t>
      </w:r>
      <w:r w:rsidRPr="00B15171">
        <w:rPr>
          <w:rFonts w:ascii="Tahoma" w:hAnsi="Tahoma" w:cs="Tahoma"/>
          <w:bCs/>
          <w:sz w:val="20"/>
          <w:szCs w:val="20"/>
        </w:rPr>
        <w:t>, la società dovrà costituire la riserva indisponibile ai sensi del comma 7-</w:t>
      </w:r>
      <w:r w:rsidRPr="00B15171">
        <w:rPr>
          <w:rFonts w:ascii="Tahoma" w:hAnsi="Tahoma" w:cs="Tahoma"/>
          <w:bCs/>
          <w:i/>
          <w:iCs/>
          <w:sz w:val="20"/>
          <w:szCs w:val="20"/>
        </w:rPr>
        <w:t>ter</w:t>
      </w:r>
      <w:r w:rsidRPr="00B15171">
        <w:rPr>
          <w:rFonts w:ascii="Tahoma" w:hAnsi="Tahoma" w:cs="Tahoma"/>
          <w:bCs/>
          <w:sz w:val="20"/>
          <w:szCs w:val="20"/>
        </w:rPr>
        <w:t xml:space="preserve"> dell’art. 60, L. 126/2020.</w:t>
      </w:r>
    </w:p>
    <w:p w14:paraId="75D72DEA" w14:textId="47B95679" w:rsidR="00A84E1D" w:rsidRPr="00B15171" w:rsidRDefault="00A84E1D" w:rsidP="00B15171">
      <w:pPr>
        <w:spacing w:after="200" w:line="360" w:lineRule="auto"/>
        <w:jc w:val="both"/>
        <w:rPr>
          <w:rFonts w:ascii="Tahoma" w:hAnsi="Tahoma" w:cs="Tahoma"/>
          <w:bCs/>
          <w:sz w:val="20"/>
          <w:szCs w:val="20"/>
        </w:rPr>
      </w:pPr>
      <w:r w:rsidRPr="00B15171">
        <w:rPr>
          <w:rFonts w:ascii="Tahoma" w:hAnsi="Tahoma" w:cs="Tahoma"/>
          <w:bCs/>
          <w:sz w:val="20"/>
          <w:szCs w:val="20"/>
        </w:rPr>
        <w:t>Quindi si avrà, su</w:t>
      </w:r>
      <w:r w:rsidR="00CE29A8" w:rsidRPr="00B15171">
        <w:rPr>
          <w:rFonts w:ascii="Tahoma" w:hAnsi="Tahoma" w:cs="Tahoma"/>
          <w:bCs/>
          <w:sz w:val="20"/>
          <w:szCs w:val="20"/>
        </w:rPr>
        <w:t>pponendo un utile di 300:</w:t>
      </w:r>
    </w:p>
    <w:p w14:paraId="25A9BFA3" w14:textId="3334EDD6" w:rsidR="00A84E1D" w:rsidRPr="00B15171" w:rsidRDefault="00A84E1D" w:rsidP="00B15171">
      <w:pPr>
        <w:spacing w:after="200" w:line="360" w:lineRule="auto"/>
        <w:jc w:val="both"/>
        <w:rPr>
          <w:rFonts w:ascii="Tahoma" w:hAnsi="Tahoma" w:cs="Tahoma"/>
          <w:sz w:val="20"/>
          <w:szCs w:val="20"/>
        </w:rPr>
      </w:pPr>
      <w:r w:rsidRPr="00B15171">
        <w:rPr>
          <w:rFonts w:ascii="Tahoma" w:hAnsi="Tahoma" w:cs="Tahoma"/>
          <w:sz w:val="20"/>
          <w:szCs w:val="20"/>
        </w:rPr>
        <w:t xml:space="preserve">Ammortamenti non eseguiti: </w:t>
      </w:r>
      <w:r w:rsidR="00CE29A8" w:rsidRPr="00B15171">
        <w:rPr>
          <w:rFonts w:ascii="Tahoma" w:hAnsi="Tahoma" w:cs="Tahoma"/>
          <w:sz w:val="20"/>
          <w:szCs w:val="20"/>
        </w:rPr>
        <w:t>280</w:t>
      </w:r>
    </w:p>
    <w:p w14:paraId="64DDF339" w14:textId="2C372B1D" w:rsidR="00A84E1D" w:rsidRPr="00B15171" w:rsidRDefault="00A84E1D" w:rsidP="00B15171">
      <w:pPr>
        <w:spacing w:after="200" w:line="360" w:lineRule="auto"/>
        <w:jc w:val="both"/>
        <w:rPr>
          <w:rFonts w:ascii="Tahoma" w:hAnsi="Tahoma" w:cs="Tahoma"/>
          <w:sz w:val="20"/>
          <w:szCs w:val="20"/>
        </w:rPr>
      </w:pPr>
      <w:r w:rsidRPr="00B15171">
        <w:rPr>
          <w:rFonts w:ascii="Tahoma" w:hAnsi="Tahoma" w:cs="Tahoma"/>
          <w:sz w:val="20"/>
          <w:szCs w:val="20"/>
        </w:rPr>
        <w:t xml:space="preserve">Utile dell’esercizio: </w:t>
      </w:r>
      <w:r w:rsidR="00CE29A8" w:rsidRPr="00B15171">
        <w:rPr>
          <w:rFonts w:ascii="Tahoma" w:hAnsi="Tahoma" w:cs="Tahoma"/>
          <w:sz w:val="20"/>
          <w:szCs w:val="20"/>
        </w:rPr>
        <w:t>300</w:t>
      </w:r>
    </w:p>
    <w:p w14:paraId="31C8B956" w14:textId="138DC643" w:rsidR="00A84E1D" w:rsidRPr="00B15171" w:rsidRDefault="00A84E1D" w:rsidP="00B15171">
      <w:pPr>
        <w:spacing w:after="200" w:line="360" w:lineRule="auto"/>
        <w:jc w:val="both"/>
        <w:rPr>
          <w:rFonts w:ascii="Tahoma" w:hAnsi="Tahoma" w:cs="Tahoma"/>
          <w:sz w:val="20"/>
          <w:szCs w:val="20"/>
        </w:rPr>
      </w:pPr>
      <w:r w:rsidRPr="00B15171">
        <w:rPr>
          <w:rFonts w:ascii="Tahoma" w:hAnsi="Tahoma" w:cs="Tahoma"/>
          <w:sz w:val="20"/>
          <w:szCs w:val="20"/>
        </w:rPr>
        <w:t>30/4/202</w:t>
      </w:r>
      <w:r w:rsidR="007F55ED">
        <w:rPr>
          <w:rFonts w:ascii="Tahoma" w:hAnsi="Tahoma" w:cs="Tahoma"/>
          <w:sz w:val="20"/>
          <w:szCs w:val="20"/>
        </w:rPr>
        <w:t>4</w:t>
      </w:r>
    </w:p>
    <w:tbl>
      <w:tblPr>
        <w:tblW w:w="9639" w:type="dxa"/>
        <w:tblLayout w:type="fixed"/>
        <w:tblCellMar>
          <w:left w:w="70" w:type="dxa"/>
          <w:right w:w="70" w:type="dxa"/>
        </w:tblCellMar>
        <w:tblLook w:val="0000" w:firstRow="0" w:lastRow="0" w:firstColumn="0" w:lastColumn="0" w:noHBand="0" w:noVBand="0"/>
      </w:tblPr>
      <w:tblGrid>
        <w:gridCol w:w="3331"/>
        <w:gridCol w:w="567"/>
        <w:gridCol w:w="4182"/>
        <w:gridCol w:w="1559"/>
      </w:tblGrid>
      <w:tr w:rsidR="00A84E1D" w:rsidRPr="00B15171" w14:paraId="6F0C164A" w14:textId="77777777" w:rsidTr="004D2CC4">
        <w:tc>
          <w:tcPr>
            <w:tcW w:w="3331" w:type="dxa"/>
            <w:tcBorders>
              <w:top w:val="single" w:sz="4" w:space="0" w:color="auto"/>
            </w:tcBorders>
          </w:tcPr>
          <w:p w14:paraId="7C7AD3BB" w14:textId="40FBA36D" w:rsidR="00A84E1D" w:rsidRPr="00B15171" w:rsidRDefault="00A84E1D"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Utile dell’esercizio 202</w:t>
            </w:r>
            <w:r w:rsidR="007F55ED">
              <w:rPr>
                <w:rFonts w:ascii="Tahoma" w:hAnsi="Tahoma" w:cs="Tahoma"/>
                <w:sz w:val="20"/>
                <w:szCs w:val="20"/>
              </w:rPr>
              <w:t>3</w:t>
            </w:r>
          </w:p>
        </w:tc>
        <w:tc>
          <w:tcPr>
            <w:tcW w:w="567" w:type="dxa"/>
          </w:tcPr>
          <w:p w14:paraId="0F19B5AE" w14:textId="77777777" w:rsidR="00A84E1D" w:rsidRPr="00B15171" w:rsidRDefault="00A84E1D"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Borders>
              <w:top w:val="single" w:sz="4" w:space="0" w:color="auto"/>
            </w:tcBorders>
          </w:tcPr>
          <w:p w14:paraId="685B9AB7" w14:textId="77777777" w:rsidR="00A84E1D" w:rsidRPr="00B15171" w:rsidRDefault="00A84E1D" w:rsidP="00B15171">
            <w:pPr>
              <w:tabs>
                <w:tab w:val="left" w:pos="709"/>
              </w:tabs>
              <w:spacing w:after="200" w:line="360" w:lineRule="auto"/>
              <w:ind w:right="111"/>
              <w:jc w:val="both"/>
              <w:rPr>
                <w:rFonts w:ascii="Tahoma" w:hAnsi="Tahoma" w:cs="Tahoma"/>
                <w:i/>
                <w:sz w:val="20"/>
                <w:szCs w:val="20"/>
              </w:rPr>
            </w:pPr>
            <w:r w:rsidRPr="00B15171">
              <w:rPr>
                <w:rFonts w:ascii="Tahoma" w:hAnsi="Tahoma" w:cs="Tahoma"/>
                <w:i/>
                <w:sz w:val="20"/>
                <w:szCs w:val="20"/>
              </w:rPr>
              <w:t>Diversi</w:t>
            </w:r>
          </w:p>
        </w:tc>
        <w:tc>
          <w:tcPr>
            <w:tcW w:w="1559" w:type="dxa"/>
            <w:tcBorders>
              <w:bottom w:val="single" w:sz="4" w:space="0" w:color="auto"/>
            </w:tcBorders>
          </w:tcPr>
          <w:p w14:paraId="1D4B5BC3" w14:textId="64165BFB" w:rsidR="00A84E1D" w:rsidRPr="00B15171" w:rsidRDefault="00CE29A8"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300</w:t>
            </w:r>
          </w:p>
        </w:tc>
      </w:tr>
      <w:tr w:rsidR="00A84E1D" w:rsidRPr="00B15171" w14:paraId="3077D1CB" w14:textId="77777777" w:rsidTr="004D2CC4">
        <w:tc>
          <w:tcPr>
            <w:tcW w:w="3331" w:type="dxa"/>
          </w:tcPr>
          <w:p w14:paraId="3DBFF58A"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p>
        </w:tc>
        <w:tc>
          <w:tcPr>
            <w:tcW w:w="567" w:type="dxa"/>
          </w:tcPr>
          <w:p w14:paraId="083B9544" w14:textId="77777777" w:rsidR="00A84E1D" w:rsidRPr="00B15171" w:rsidRDefault="00A84E1D"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70D9F4EB"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indisponibile art. 60, comma 7-</w:t>
            </w:r>
            <w:r w:rsidRPr="00B15171">
              <w:rPr>
                <w:rFonts w:ascii="Tahoma" w:hAnsi="Tahoma" w:cs="Tahoma"/>
                <w:i/>
                <w:sz w:val="20"/>
                <w:szCs w:val="20"/>
              </w:rPr>
              <w:t>ter</w:t>
            </w:r>
            <w:r w:rsidRPr="00B15171">
              <w:rPr>
                <w:rFonts w:ascii="Tahoma" w:hAnsi="Tahoma" w:cs="Tahoma"/>
                <w:sz w:val="20"/>
                <w:szCs w:val="20"/>
              </w:rPr>
              <w:t xml:space="preserve"> L. 126/2020</w:t>
            </w:r>
          </w:p>
        </w:tc>
        <w:tc>
          <w:tcPr>
            <w:tcW w:w="1559" w:type="dxa"/>
            <w:tcBorders>
              <w:top w:val="single" w:sz="4" w:space="0" w:color="auto"/>
            </w:tcBorders>
          </w:tcPr>
          <w:p w14:paraId="7495C372" w14:textId="123245D0" w:rsidR="00A84E1D" w:rsidRPr="00B15171" w:rsidRDefault="00CE29A8"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280</w:t>
            </w:r>
          </w:p>
        </w:tc>
      </w:tr>
      <w:tr w:rsidR="00A84E1D" w:rsidRPr="00B15171" w14:paraId="07295225" w14:textId="77777777" w:rsidTr="004D2CC4">
        <w:tc>
          <w:tcPr>
            <w:tcW w:w="3331" w:type="dxa"/>
          </w:tcPr>
          <w:p w14:paraId="7FB82971"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p>
        </w:tc>
        <w:tc>
          <w:tcPr>
            <w:tcW w:w="567" w:type="dxa"/>
          </w:tcPr>
          <w:p w14:paraId="571AC5F1" w14:textId="77777777" w:rsidR="00A84E1D" w:rsidRPr="00B15171" w:rsidRDefault="00A84E1D"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4182" w:type="dxa"/>
          </w:tcPr>
          <w:p w14:paraId="39288BFD" w14:textId="77777777" w:rsidR="00A84E1D" w:rsidRPr="00B15171" w:rsidRDefault="00A84E1D"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Riserva straordinaria</w:t>
            </w:r>
          </w:p>
        </w:tc>
        <w:tc>
          <w:tcPr>
            <w:tcW w:w="1559" w:type="dxa"/>
          </w:tcPr>
          <w:p w14:paraId="638F2FCA" w14:textId="61C87CC0" w:rsidR="00A84E1D" w:rsidRPr="00B15171" w:rsidRDefault="00CE29A8"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20</w:t>
            </w:r>
          </w:p>
        </w:tc>
      </w:tr>
    </w:tbl>
    <w:p w14:paraId="1E84CEC5" w14:textId="10B95116" w:rsidR="00CE29A8" w:rsidRPr="00B15171" w:rsidRDefault="00CE29A8"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Destinazione dell’Utile d’esercizio 202</w:t>
      </w:r>
      <w:r w:rsidR="007F55ED">
        <w:rPr>
          <w:rFonts w:ascii="Tahoma" w:hAnsi="Tahoma" w:cs="Tahoma"/>
          <w:bCs/>
          <w:i/>
          <w:iCs/>
          <w:sz w:val="20"/>
          <w:szCs w:val="20"/>
          <w:bdr w:val="none" w:sz="0" w:space="0" w:color="auto" w:frame="1"/>
        </w:rPr>
        <w:t>3</w:t>
      </w:r>
    </w:p>
    <w:p w14:paraId="2BEFDDA7" w14:textId="20FF6019" w:rsidR="00A84E1D" w:rsidRPr="00B15171" w:rsidRDefault="00A84E1D" w:rsidP="00B15171">
      <w:pPr>
        <w:spacing w:after="200" w:line="360" w:lineRule="auto"/>
        <w:jc w:val="both"/>
        <w:rPr>
          <w:rFonts w:ascii="Tahoma" w:hAnsi="Tahoma" w:cs="Tahoma"/>
          <w:bCs/>
          <w:sz w:val="20"/>
          <w:szCs w:val="20"/>
        </w:rPr>
      </w:pPr>
    </w:p>
    <w:p w14:paraId="5C34CF40" w14:textId="3132C7F9" w:rsidR="00CE29A8" w:rsidRPr="00B15171" w:rsidRDefault="00CE29A8" w:rsidP="00B15171">
      <w:pPr>
        <w:spacing w:after="200" w:line="360" w:lineRule="auto"/>
        <w:jc w:val="both"/>
        <w:rPr>
          <w:rFonts w:ascii="Tahoma" w:hAnsi="Tahoma" w:cs="Tahoma"/>
          <w:bCs/>
          <w:sz w:val="20"/>
          <w:szCs w:val="20"/>
        </w:rPr>
      </w:pPr>
      <w:r w:rsidRPr="00B15171">
        <w:rPr>
          <w:rFonts w:ascii="Tahoma" w:hAnsi="Tahoma" w:cs="Tahoma"/>
          <w:bCs/>
          <w:sz w:val="20"/>
          <w:szCs w:val="20"/>
        </w:rPr>
        <w:t xml:space="preserve">La riserva indisponibile, dopo le scritture di destinazione degli utili </w:t>
      </w:r>
      <w:r w:rsidR="00263FB2" w:rsidRPr="00B15171">
        <w:rPr>
          <w:rFonts w:ascii="Tahoma" w:hAnsi="Tahoma" w:cs="Tahoma"/>
          <w:bCs/>
          <w:sz w:val="20"/>
          <w:szCs w:val="20"/>
        </w:rPr>
        <w:t>202</w:t>
      </w:r>
      <w:r w:rsidR="007F55ED">
        <w:rPr>
          <w:rFonts w:ascii="Tahoma" w:hAnsi="Tahoma" w:cs="Tahoma"/>
          <w:bCs/>
          <w:sz w:val="20"/>
          <w:szCs w:val="20"/>
        </w:rPr>
        <w:t>2</w:t>
      </w:r>
      <w:r w:rsidR="00263FB2" w:rsidRPr="00B15171">
        <w:rPr>
          <w:rFonts w:ascii="Tahoma" w:hAnsi="Tahoma" w:cs="Tahoma"/>
          <w:bCs/>
          <w:sz w:val="20"/>
          <w:szCs w:val="20"/>
        </w:rPr>
        <w:t xml:space="preserve"> </w:t>
      </w:r>
      <w:r w:rsidRPr="00B15171">
        <w:rPr>
          <w:rFonts w:ascii="Tahoma" w:hAnsi="Tahoma" w:cs="Tahoma"/>
          <w:bCs/>
          <w:sz w:val="20"/>
          <w:szCs w:val="20"/>
        </w:rPr>
        <w:t>e 202</w:t>
      </w:r>
      <w:r w:rsidR="007F55ED">
        <w:rPr>
          <w:rFonts w:ascii="Tahoma" w:hAnsi="Tahoma" w:cs="Tahoma"/>
          <w:bCs/>
          <w:sz w:val="20"/>
          <w:szCs w:val="20"/>
        </w:rPr>
        <w:t>3</w:t>
      </w:r>
      <w:r w:rsidRPr="00B15171">
        <w:rPr>
          <w:rFonts w:ascii="Tahoma" w:hAnsi="Tahoma" w:cs="Tahoma"/>
          <w:bCs/>
          <w:sz w:val="20"/>
          <w:szCs w:val="20"/>
        </w:rPr>
        <w:t>, sarà quindi pari a 610.</w:t>
      </w:r>
    </w:p>
    <w:p w14:paraId="40B91EBC" w14:textId="3CE190DB" w:rsidR="008E0735" w:rsidRPr="00B15171" w:rsidRDefault="008E0735"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Il comma 7-</w:t>
      </w:r>
      <w:r w:rsidRPr="00B15171">
        <w:rPr>
          <w:rFonts w:ascii="Tahoma" w:hAnsi="Tahoma" w:cs="Tahoma"/>
          <w:bCs/>
          <w:i/>
          <w:iCs/>
          <w:sz w:val="20"/>
          <w:szCs w:val="20"/>
          <w:bdr w:val="none" w:sz="0" w:space="0" w:color="auto" w:frame="1"/>
        </w:rPr>
        <w:t>quater</w:t>
      </w:r>
      <w:r w:rsidRPr="00B15171">
        <w:rPr>
          <w:rFonts w:ascii="Tahoma" w:hAnsi="Tahoma" w:cs="Tahoma"/>
          <w:bCs/>
          <w:iCs/>
          <w:sz w:val="20"/>
          <w:szCs w:val="20"/>
          <w:bdr w:val="none" w:sz="0" w:space="0" w:color="auto" w:frame="1"/>
        </w:rPr>
        <w:t xml:space="preserve"> dell’art. 160 stabilisce che in nota integrativa sia dato conto delle ragioni della deroga, nonché dell'iscrizione e dell'importo della corrispondente riserva indisponibile, indicandone l'influenza sulla rappresentazione della situazione patrimoniale e finanziaria e del risultato  economico dell'esercizio.</w:t>
      </w:r>
    </w:p>
    <w:p w14:paraId="6F39226D" w14:textId="042E7201" w:rsidR="008E0735" w:rsidRDefault="008E0735"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lastRenderedPageBreak/>
        <w:t xml:space="preserve">In caso di utile dell’esercizio superiore all’ammortamento non eseguito (come nel caso dell’esempio), l’indicazione in nota integrativa </w:t>
      </w:r>
      <w:r w:rsidR="001E6A39" w:rsidRPr="00B15171">
        <w:rPr>
          <w:rFonts w:ascii="Tahoma" w:hAnsi="Tahoma" w:cs="Tahoma"/>
          <w:sz w:val="20"/>
          <w:szCs w:val="20"/>
        </w:rPr>
        <w:t>202</w:t>
      </w:r>
      <w:r w:rsidR="007F55ED">
        <w:rPr>
          <w:rFonts w:ascii="Tahoma" w:hAnsi="Tahoma" w:cs="Tahoma"/>
          <w:sz w:val="20"/>
          <w:szCs w:val="20"/>
        </w:rPr>
        <w:t>3</w:t>
      </w:r>
      <w:r w:rsidR="001E6A39" w:rsidRPr="00B15171">
        <w:rPr>
          <w:rFonts w:ascii="Tahoma" w:hAnsi="Tahoma" w:cs="Tahoma"/>
          <w:sz w:val="20"/>
          <w:szCs w:val="20"/>
        </w:rPr>
        <w:t xml:space="preserve"> </w:t>
      </w:r>
      <w:r w:rsidRPr="00B15171">
        <w:rPr>
          <w:rFonts w:ascii="Tahoma" w:hAnsi="Tahoma" w:cs="Tahoma"/>
          <w:sz w:val="20"/>
          <w:szCs w:val="20"/>
        </w:rPr>
        <w:t>potrebbe essere la seguente, anche in base a quanto suggerito dall’OIC nel Documento interpretativo 9, considerando che del nuovo piano di ammortamento deve essere data contezza nei paragrafi che riguardano le Immobilizzazioni immateriali e materiali:</w:t>
      </w:r>
    </w:p>
    <w:tbl>
      <w:tblPr>
        <w:tblStyle w:val="Grigliatabella"/>
        <w:tblW w:w="0" w:type="auto"/>
        <w:tblLook w:val="04A0" w:firstRow="1" w:lastRow="0" w:firstColumn="1" w:lastColumn="0" w:noHBand="0" w:noVBand="1"/>
      </w:tblPr>
      <w:tblGrid>
        <w:gridCol w:w="9628"/>
      </w:tblGrid>
      <w:tr w:rsidR="002026C0" w14:paraId="63F2F01A" w14:textId="77777777" w:rsidTr="002026C0">
        <w:tc>
          <w:tcPr>
            <w:tcW w:w="9628" w:type="dxa"/>
          </w:tcPr>
          <w:p w14:paraId="7267D9CE"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
                <w:bCs/>
                <w:sz w:val="20"/>
                <w:szCs w:val="20"/>
              </w:rPr>
            </w:pPr>
            <w:r w:rsidRPr="002026C0">
              <w:rPr>
                <w:rFonts w:ascii="Tahoma" w:hAnsi="Tahoma" w:cs="Tahoma"/>
                <w:b/>
                <w:bCs/>
                <w:sz w:val="20"/>
                <w:szCs w:val="20"/>
              </w:rPr>
              <w:t>Politiche contabili (art. 2427, punto 1, c.c.)</w:t>
            </w:r>
          </w:p>
          <w:p w14:paraId="151B9BB1"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
                <w:bCs/>
                <w:sz w:val="20"/>
                <w:szCs w:val="20"/>
              </w:rPr>
            </w:pPr>
            <w:r w:rsidRPr="002026C0">
              <w:rPr>
                <w:rFonts w:ascii="Tahoma" w:hAnsi="Tahoma" w:cs="Tahoma"/>
                <w:b/>
                <w:bCs/>
                <w:sz w:val="20"/>
                <w:szCs w:val="20"/>
              </w:rPr>
              <w:t>Esercizio della deroga ex art. 60, comma 7-bis della L. 126/2020</w:t>
            </w:r>
          </w:p>
          <w:p w14:paraId="5F307F7C"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La società si è avvalsa della deroga ex art. 60, comma 7-bis della L. 126/2020 sia nell’esercizio 2022 che nell’esercizio 2023.</w:t>
            </w:r>
          </w:p>
          <w:p w14:paraId="62979C00"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i/>
                <w:iCs/>
                <w:sz w:val="20"/>
                <w:szCs w:val="20"/>
              </w:rPr>
            </w:pPr>
            <w:r w:rsidRPr="002026C0">
              <w:rPr>
                <w:rFonts w:ascii="Tahoma" w:hAnsi="Tahoma" w:cs="Tahoma"/>
                <w:i/>
                <w:iCs/>
                <w:sz w:val="20"/>
                <w:szCs w:val="20"/>
              </w:rPr>
              <w:t>- Beni su cui è stata eseguita la deroga</w:t>
            </w:r>
          </w:p>
          <w:p w14:paraId="6D4891AD"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La società non ha imputato in conto economico 2022 gli ammortamenti sulle Spese di sviluppo (200), gli Automezzi (50) e le Macchine Elettroniche d’Ufficio (80), per un totale di 330 e nel conto economico 2023 gli ammortamenti sulle Spese di sviluppo (200) e le Macchine Elettroniche d’Ufficio (80), per un totale di 280.</w:t>
            </w:r>
          </w:p>
          <w:p w14:paraId="14098659"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In tal modo nessun ammortamento è stato registrato nel presente esercizio.</w:t>
            </w:r>
          </w:p>
          <w:p w14:paraId="4C73B868"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i/>
                <w:iCs/>
                <w:sz w:val="20"/>
                <w:szCs w:val="20"/>
              </w:rPr>
            </w:pPr>
            <w:r w:rsidRPr="002026C0">
              <w:rPr>
                <w:rFonts w:ascii="Tahoma" w:hAnsi="Tahoma" w:cs="Tahoma"/>
                <w:i/>
                <w:iCs/>
                <w:sz w:val="20"/>
                <w:szCs w:val="20"/>
              </w:rPr>
              <w:t>- Ragioni della deroga</w:t>
            </w:r>
          </w:p>
          <w:p w14:paraId="0E7650D7"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L’iscrizione degli ammortamenti in conto economico, in un esercizio nel quale per l’incremento del costo dell’energia che ha comportato per due mesi il fermo degli impianti, avrebbe comportato l’emersione di un risultato di esercizio molto più basso di quello degli esercizi precedenti, dovuto ad accadimenti straordinari, che si è quindi deciso di mitigare tramite l’esercizio della deroga.</w:t>
            </w:r>
          </w:p>
          <w:p w14:paraId="6C080086"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i/>
                <w:iCs/>
                <w:sz w:val="20"/>
                <w:szCs w:val="20"/>
              </w:rPr>
            </w:pPr>
            <w:r w:rsidRPr="002026C0">
              <w:rPr>
                <w:rFonts w:ascii="Tahoma" w:hAnsi="Tahoma" w:cs="Tahoma"/>
                <w:i/>
                <w:iCs/>
                <w:sz w:val="20"/>
                <w:szCs w:val="20"/>
              </w:rPr>
              <w:t xml:space="preserve">- Impatto della deroga in termini economici e patrimoniali </w:t>
            </w:r>
          </w:p>
          <w:p w14:paraId="0A090C45"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Per effetto dell’utilizzo della deroga i piani di ammortamento risultano variati. La vita utile delle Spese di sviluppo e delle Macchine elettroniche d’Ufficio avrà termine nel 2025, mentre la vita utile degli Automezzi avrà termine nel 2024.</w:t>
            </w:r>
          </w:p>
          <w:p w14:paraId="182862A6"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In sede di approvazione del bilancio, come specificato nell’apposito paragrafo della presente Nota integrativa, l’importo di 280 verrà destinato ad una riserva indisponibile denominata “Riserva indisponibile art. 60, comma 7-ter L. 126/2020”, che non potrà essere utilizzata nemmeno per la copertura delle perdite dell’esercizio.</w:t>
            </w:r>
          </w:p>
          <w:p w14:paraId="605D3AE4"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La società ha comunque dedotto gli ammortamenti non eseguiti sia ai fini Ires che ai fini Irap e quindi ha iscritto nel Fondo per imposte differite la somma di 80,70, in relazione agli ammortamenti che verranno eseguiti nell’ultimo anno di vita utile dei beni, anno in cui tali ammortamenti risulteranno indeducibili.</w:t>
            </w:r>
          </w:p>
          <w:p w14:paraId="73A92CB1"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Il risultato dell’esercizio è un utile di 300, al netto dell’iscrizione delle imposte differite.</w:t>
            </w:r>
          </w:p>
          <w:p w14:paraId="3C2489C6"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Qualora la società avesse eseguito gli ammortamenti, il risultato di esercizio sarebbe stato di 100,70, pari al risultato incrementato delle imposte differite e ridotto degli ammortamenti.</w:t>
            </w:r>
          </w:p>
          <w:p w14:paraId="60C633FD"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Di conseguenza il patrimonio netto della società, per effetto della mancata effettuazione degli ammortamenti è superiore di 199,30 rispetto a quello che sarebbe risultato qualora la società avesse regolarmente eseguito gli ammortamenti.</w:t>
            </w:r>
          </w:p>
          <w:p w14:paraId="24E7995B" w14:textId="2EC5608E" w:rsid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sz w:val="20"/>
                <w:szCs w:val="20"/>
              </w:rPr>
            </w:pPr>
            <w:r w:rsidRPr="002026C0">
              <w:rPr>
                <w:rFonts w:ascii="Tahoma" w:hAnsi="Tahoma" w:cs="Tahoma"/>
                <w:sz w:val="20"/>
                <w:szCs w:val="20"/>
              </w:rPr>
              <w:t>L’effetto finanziario si risolve in un risparmio di imposte di 80,70.</w:t>
            </w:r>
          </w:p>
        </w:tc>
      </w:tr>
    </w:tbl>
    <w:p w14:paraId="6F9B9D42" w14:textId="77777777" w:rsidR="008E0735" w:rsidRPr="00B15171" w:rsidRDefault="008E0735" w:rsidP="00B15171">
      <w:pPr>
        <w:spacing w:after="200" w:line="360" w:lineRule="auto"/>
        <w:jc w:val="both"/>
        <w:rPr>
          <w:rFonts w:ascii="Tahoma" w:hAnsi="Tahoma" w:cs="Tahoma"/>
          <w:sz w:val="20"/>
          <w:szCs w:val="20"/>
        </w:rPr>
      </w:pPr>
    </w:p>
    <w:p w14:paraId="7A682415" w14:textId="6CA18EF0"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lastRenderedPageBreak/>
        <w:t>Nell’esercizio 202</w:t>
      </w:r>
      <w:r w:rsidR="007F55ED">
        <w:rPr>
          <w:rFonts w:ascii="Tahoma" w:hAnsi="Tahoma" w:cs="Tahoma"/>
          <w:bCs/>
          <w:sz w:val="20"/>
          <w:szCs w:val="20"/>
        </w:rPr>
        <w:t>4</w:t>
      </w:r>
      <w:r w:rsidRPr="00B15171">
        <w:rPr>
          <w:rFonts w:ascii="Tahoma" w:hAnsi="Tahoma" w:cs="Tahoma"/>
          <w:bCs/>
          <w:sz w:val="20"/>
          <w:szCs w:val="20"/>
        </w:rPr>
        <w:t xml:space="preserve"> e nell’esercizio 202</w:t>
      </w:r>
      <w:r w:rsidR="007F55ED">
        <w:rPr>
          <w:rFonts w:ascii="Tahoma" w:hAnsi="Tahoma" w:cs="Tahoma"/>
          <w:bCs/>
          <w:sz w:val="20"/>
          <w:szCs w:val="20"/>
        </w:rPr>
        <w:t>5</w:t>
      </w:r>
      <w:r w:rsidR="00263FB2" w:rsidRPr="00B15171">
        <w:rPr>
          <w:rFonts w:ascii="Tahoma" w:hAnsi="Tahoma" w:cs="Tahoma"/>
          <w:bCs/>
          <w:sz w:val="20"/>
          <w:szCs w:val="20"/>
        </w:rPr>
        <w:t xml:space="preserve"> </w:t>
      </w:r>
      <w:r w:rsidRPr="00B15171">
        <w:rPr>
          <w:rFonts w:ascii="Tahoma" w:hAnsi="Tahoma" w:cs="Tahoma"/>
          <w:bCs/>
          <w:sz w:val="20"/>
          <w:szCs w:val="20"/>
        </w:rPr>
        <w:t>la società opererà gli ammortamenti</w:t>
      </w:r>
      <w:r w:rsidR="002B19BE" w:rsidRPr="00B15171">
        <w:rPr>
          <w:rFonts w:ascii="Tahoma" w:hAnsi="Tahoma" w:cs="Tahoma"/>
          <w:bCs/>
          <w:sz w:val="20"/>
          <w:szCs w:val="20"/>
        </w:rPr>
        <w:t xml:space="preserve"> mediante l’imputazione in conto economico,</w:t>
      </w:r>
      <w:r w:rsidRPr="00B15171">
        <w:rPr>
          <w:rFonts w:ascii="Tahoma" w:hAnsi="Tahoma" w:cs="Tahoma"/>
          <w:bCs/>
          <w:sz w:val="20"/>
          <w:szCs w:val="20"/>
        </w:rPr>
        <w:t xml:space="preserve"> senza però poter operare la deduzione, in quanto già effettuata negli esercizi 202</w:t>
      </w:r>
      <w:r w:rsidR="007F55ED">
        <w:rPr>
          <w:rFonts w:ascii="Tahoma" w:hAnsi="Tahoma" w:cs="Tahoma"/>
          <w:bCs/>
          <w:sz w:val="20"/>
          <w:szCs w:val="20"/>
        </w:rPr>
        <w:t>2</w:t>
      </w:r>
      <w:r w:rsidRPr="00B15171">
        <w:rPr>
          <w:rFonts w:ascii="Tahoma" w:hAnsi="Tahoma" w:cs="Tahoma"/>
          <w:bCs/>
          <w:sz w:val="20"/>
          <w:szCs w:val="20"/>
        </w:rPr>
        <w:t xml:space="preserve"> e 202</w:t>
      </w:r>
      <w:r w:rsidR="007F55ED">
        <w:rPr>
          <w:rFonts w:ascii="Tahoma" w:hAnsi="Tahoma" w:cs="Tahoma"/>
          <w:bCs/>
          <w:sz w:val="20"/>
          <w:szCs w:val="20"/>
        </w:rPr>
        <w:t>3</w:t>
      </w:r>
      <w:r w:rsidRPr="00B15171">
        <w:rPr>
          <w:rFonts w:ascii="Tahoma" w:hAnsi="Tahoma" w:cs="Tahoma"/>
          <w:bCs/>
          <w:sz w:val="20"/>
          <w:szCs w:val="20"/>
        </w:rPr>
        <w:t>.</w:t>
      </w:r>
    </w:p>
    <w:p w14:paraId="7BDC7B2C" w14:textId="5B7DB221"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La società dovrà quindi eseguire lo scarico del Fondo Imposte Differite per la quota che in ciascun anno corrisponderà all’imposta sulla variazione in aumento.</w:t>
      </w:r>
    </w:p>
    <w:p w14:paraId="2429CB1C" w14:textId="0CF588C0"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 Anno 202</w:t>
      </w:r>
      <w:r w:rsidR="007F55ED">
        <w:rPr>
          <w:rFonts w:ascii="Tahoma" w:hAnsi="Tahoma" w:cs="Tahoma"/>
          <w:bCs/>
          <w:sz w:val="20"/>
          <w:szCs w:val="20"/>
        </w:rPr>
        <w:t>4</w:t>
      </w:r>
    </w:p>
    <w:p w14:paraId="7082816C" w14:textId="5B19D2C0"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Variazione in aumento: 330</w:t>
      </w:r>
    </w:p>
    <w:p w14:paraId="084CB40E" w14:textId="6B58D2FB"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Maggiore Ires: 79,20</w:t>
      </w:r>
    </w:p>
    <w:p w14:paraId="7039C8D7" w14:textId="0027777B"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Maggiore Irap: 15,91</w:t>
      </w:r>
    </w:p>
    <w:p w14:paraId="0C4B3328" w14:textId="051F54D9" w:rsidR="001E6A39" w:rsidRPr="00B15171" w:rsidRDefault="001E6A39" w:rsidP="00B15171">
      <w:pPr>
        <w:spacing w:after="200" w:line="360" w:lineRule="auto"/>
        <w:jc w:val="both"/>
        <w:rPr>
          <w:rFonts w:ascii="Tahoma" w:hAnsi="Tahoma" w:cs="Tahoma"/>
          <w:bCs/>
          <w:sz w:val="20"/>
          <w:szCs w:val="20"/>
        </w:rPr>
      </w:pPr>
      <w:r w:rsidRPr="00B15171">
        <w:rPr>
          <w:rFonts w:ascii="Tahoma" w:hAnsi="Tahoma" w:cs="Tahoma"/>
          <w:bCs/>
          <w:sz w:val="20"/>
          <w:szCs w:val="20"/>
        </w:rPr>
        <w:t>Le scritture contabili saranno le seguenti:</w:t>
      </w:r>
    </w:p>
    <w:p w14:paraId="121730C9" w14:textId="428BE605" w:rsidR="001E6A39" w:rsidRPr="00B15171" w:rsidRDefault="001E6A39"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7F55ED">
        <w:rPr>
          <w:rFonts w:ascii="Tahoma" w:hAnsi="Tahoma" w:cs="Tahoma"/>
          <w:sz w:val="20"/>
          <w:szCs w:val="20"/>
        </w:rPr>
        <w:t>4</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1E6A39" w:rsidRPr="00B15171" w14:paraId="7A13A0AF" w14:textId="77777777" w:rsidTr="004D2CC4">
        <w:tc>
          <w:tcPr>
            <w:tcW w:w="3686" w:type="dxa"/>
            <w:tcBorders>
              <w:top w:val="single" w:sz="4" w:space="0" w:color="auto"/>
            </w:tcBorders>
          </w:tcPr>
          <w:p w14:paraId="1EB73A08" w14:textId="0F679185" w:rsidR="001E6A39" w:rsidRPr="00B15171" w:rsidRDefault="001E6A39"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763A026B" w14:textId="77777777" w:rsidR="001E6A39" w:rsidRPr="00B15171" w:rsidRDefault="001E6A39"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A7BC7F2" w14:textId="30B3A488" w:rsidR="001E6A39"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69B2592A" w14:textId="1EC53203" w:rsidR="001E6A39"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79</w:t>
            </w:r>
            <w:r w:rsidR="001E6A39" w:rsidRPr="00B15171">
              <w:rPr>
                <w:rFonts w:ascii="Tahoma" w:hAnsi="Tahoma" w:cs="Tahoma"/>
                <w:sz w:val="20"/>
                <w:szCs w:val="20"/>
              </w:rPr>
              <w:t>,20</w:t>
            </w:r>
          </w:p>
        </w:tc>
      </w:tr>
    </w:tbl>
    <w:p w14:paraId="5E084026" w14:textId="6C118C5A" w:rsidR="001E6A39" w:rsidRPr="00B15171" w:rsidRDefault="001E6A39"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 xml:space="preserve">Causale: </w:t>
      </w:r>
      <w:r w:rsidR="002B19BE" w:rsidRPr="00B15171">
        <w:rPr>
          <w:rFonts w:ascii="Tahoma" w:hAnsi="Tahoma" w:cs="Tahoma"/>
          <w:bCs/>
          <w:i/>
          <w:iCs/>
          <w:sz w:val="20"/>
          <w:szCs w:val="20"/>
          <w:bdr w:val="none" w:sz="0" w:space="0" w:color="auto" w:frame="1"/>
        </w:rPr>
        <w:t>Riversamento Fondo Imposte differite Ires per ammortamento indeducibile</w:t>
      </w:r>
    </w:p>
    <w:p w14:paraId="014B1B94" w14:textId="4DB4E559" w:rsidR="00B15171" w:rsidRDefault="00B15171">
      <w:pPr>
        <w:spacing w:after="160" w:line="259" w:lineRule="auto"/>
        <w:rPr>
          <w:rFonts w:ascii="Tahoma" w:hAnsi="Tahoma" w:cs="Tahoma"/>
          <w:sz w:val="20"/>
          <w:szCs w:val="20"/>
        </w:rPr>
      </w:pPr>
    </w:p>
    <w:p w14:paraId="2E11432C" w14:textId="0C043778" w:rsidR="001E6A39" w:rsidRPr="00B15171" w:rsidRDefault="001E6A39"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7F55ED">
        <w:rPr>
          <w:rFonts w:ascii="Tahoma" w:hAnsi="Tahoma" w:cs="Tahoma"/>
          <w:sz w:val="20"/>
          <w:szCs w:val="20"/>
        </w:rPr>
        <w:t>4</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1E6A39" w:rsidRPr="00B15171" w14:paraId="3E070E0D" w14:textId="77777777" w:rsidTr="004D2CC4">
        <w:tc>
          <w:tcPr>
            <w:tcW w:w="3686" w:type="dxa"/>
            <w:tcBorders>
              <w:top w:val="single" w:sz="4" w:space="0" w:color="auto"/>
            </w:tcBorders>
          </w:tcPr>
          <w:p w14:paraId="674AAB99" w14:textId="2E0E3FBD" w:rsidR="001E6A39"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36A60AC3" w14:textId="77777777" w:rsidR="001E6A39" w:rsidRPr="00B15171" w:rsidRDefault="001E6A39"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1AF7B030" w14:textId="515047AB" w:rsidR="001E6A39"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2B2ED0A5" w14:textId="0BAE6856" w:rsidR="001E6A39"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15,91</w:t>
            </w:r>
          </w:p>
        </w:tc>
      </w:tr>
    </w:tbl>
    <w:p w14:paraId="3133C3FD" w14:textId="52E602F4"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Riversamento Fondo Imposte differite Irap per ammortamento indeducibile</w:t>
      </w:r>
    </w:p>
    <w:p w14:paraId="73514CBA" w14:textId="77777777" w:rsidR="001E6A39" w:rsidRPr="00B15171" w:rsidRDefault="001E6A39" w:rsidP="00B15171">
      <w:pPr>
        <w:spacing w:after="200" w:line="360" w:lineRule="auto"/>
        <w:jc w:val="both"/>
        <w:rPr>
          <w:rFonts w:ascii="Tahoma" w:hAnsi="Tahoma" w:cs="Tahoma"/>
          <w:bCs/>
          <w:sz w:val="20"/>
          <w:szCs w:val="20"/>
        </w:rPr>
      </w:pPr>
    </w:p>
    <w:p w14:paraId="0DAF104A" w14:textId="18D0AE6B"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 Anno 202</w:t>
      </w:r>
      <w:r w:rsidR="007F55ED">
        <w:rPr>
          <w:rFonts w:ascii="Tahoma" w:hAnsi="Tahoma" w:cs="Tahoma"/>
          <w:bCs/>
          <w:sz w:val="20"/>
          <w:szCs w:val="20"/>
        </w:rPr>
        <w:t>5</w:t>
      </w:r>
    </w:p>
    <w:p w14:paraId="10108D53" w14:textId="59873FB8"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Variazione in aumento: 280</w:t>
      </w:r>
    </w:p>
    <w:p w14:paraId="660A6398" w14:textId="405C83AD"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Maggiore Ires: 67,20</w:t>
      </w:r>
    </w:p>
    <w:p w14:paraId="6B0D9C1D" w14:textId="396DAC15"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Maggiore Irap: 13,50</w:t>
      </w:r>
    </w:p>
    <w:p w14:paraId="7F1CF287" w14:textId="3F6F8360" w:rsidR="002B19BE" w:rsidRPr="00B15171" w:rsidRDefault="002B19BE" w:rsidP="00B15171">
      <w:pPr>
        <w:spacing w:after="200" w:line="360" w:lineRule="auto"/>
        <w:jc w:val="both"/>
        <w:rPr>
          <w:rFonts w:ascii="Tahoma" w:hAnsi="Tahoma" w:cs="Tahoma"/>
          <w:bCs/>
          <w:sz w:val="20"/>
          <w:szCs w:val="20"/>
        </w:rPr>
      </w:pPr>
      <w:r w:rsidRPr="00B15171">
        <w:rPr>
          <w:rFonts w:ascii="Tahoma" w:hAnsi="Tahoma" w:cs="Tahoma"/>
          <w:bCs/>
          <w:sz w:val="20"/>
          <w:szCs w:val="20"/>
        </w:rPr>
        <w:t>Le scritture contabili saranno le seguenti:</w:t>
      </w:r>
    </w:p>
    <w:p w14:paraId="1491203A" w14:textId="18BFFEB6" w:rsidR="002B19BE" w:rsidRPr="00B15171" w:rsidRDefault="002B19BE" w:rsidP="00B15171">
      <w:pPr>
        <w:spacing w:after="200" w:line="360" w:lineRule="auto"/>
        <w:jc w:val="both"/>
        <w:rPr>
          <w:rFonts w:ascii="Tahoma" w:hAnsi="Tahoma" w:cs="Tahoma"/>
          <w:sz w:val="20"/>
          <w:szCs w:val="20"/>
        </w:rPr>
      </w:pPr>
      <w:r w:rsidRPr="00B15171">
        <w:rPr>
          <w:rFonts w:ascii="Tahoma" w:hAnsi="Tahoma" w:cs="Tahoma"/>
          <w:sz w:val="20"/>
          <w:szCs w:val="20"/>
        </w:rPr>
        <w:t>31/12/202</w:t>
      </w:r>
      <w:r w:rsidR="007F55ED">
        <w:rPr>
          <w:rFonts w:ascii="Tahoma" w:hAnsi="Tahoma" w:cs="Tahoma"/>
          <w:sz w:val="20"/>
          <w:szCs w:val="20"/>
        </w:rPr>
        <w:t>5</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2B19BE" w:rsidRPr="00B15171" w14:paraId="5C243199" w14:textId="77777777" w:rsidTr="004D2CC4">
        <w:tc>
          <w:tcPr>
            <w:tcW w:w="3686" w:type="dxa"/>
            <w:tcBorders>
              <w:top w:val="single" w:sz="4" w:space="0" w:color="auto"/>
            </w:tcBorders>
          </w:tcPr>
          <w:p w14:paraId="1E8E1C3A"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4CDD97AA" w14:textId="77777777" w:rsidR="002B19BE" w:rsidRPr="00B15171" w:rsidRDefault="002B19BE"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C10303E"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4417B269" w14:textId="77777777" w:rsidR="002B19BE"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67,20</w:t>
            </w:r>
          </w:p>
        </w:tc>
      </w:tr>
    </w:tbl>
    <w:p w14:paraId="738F910C" w14:textId="77777777"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Riversamento Fondo Imposte differite Ires per ammortamento indeducibile</w:t>
      </w:r>
    </w:p>
    <w:p w14:paraId="65BC6AB9" w14:textId="77777777"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p>
    <w:p w14:paraId="085734AB" w14:textId="189B5CAB" w:rsidR="002B19BE" w:rsidRPr="00B15171" w:rsidRDefault="002B19BE"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31/12/202</w:t>
      </w:r>
      <w:r w:rsidR="007F55ED">
        <w:rPr>
          <w:rFonts w:ascii="Tahoma" w:hAnsi="Tahoma" w:cs="Tahoma"/>
          <w:sz w:val="20"/>
          <w:szCs w:val="20"/>
        </w:rPr>
        <w:t>5</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2B19BE" w:rsidRPr="00B15171" w14:paraId="3C298BA2" w14:textId="77777777" w:rsidTr="004D2CC4">
        <w:tc>
          <w:tcPr>
            <w:tcW w:w="3686" w:type="dxa"/>
            <w:tcBorders>
              <w:top w:val="single" w:sz="4" w:space="0" w:color="auto"/>
            </w:tcBorders>
          </w:tcPr>
          <w:p w14:paraId="148C4875"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Fondo Imposte differite (B2)</w:t>
            </w:r>
          </w:p>
        </w:tc>
        <w:tc>
          <w:tcPr>
            <w:tcW w:w="567" w:type="dxa"/>
          </w:tcPr>
          <w:p w14:paraId="64C47D27" w14:textId="77777777" w:rsidR="002B19BE" w:rsidRPr="00B15171" w:rsidRDefault="002B19BE" w:rsidP="00B15171">
            <w:pPr>
              <w:tabs>
                <w:tab w:val="left" w:pos="709"/>
              </w:tabs>
              <w:spacing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1023A66" w14:textId="77777777" w:rsidR="002B19BE" w:rsidRPr="00B15171" w:rsidRDefault="002B19BE" w:rsidP="00B15171">
            <w:pPr>
              <w:tabs>
                <w:tab w:val="left" w:pos="709"/>
              </w:tabs>
              <w:spacing w:after="200" w:line="360" w:lineRule="auto"/>
              <w:ind w:right="111"/>
              <w:jc w:val="both"/>
              <w:rPr>
                <w:rFonts w:ascii="Tahoma" w:hAnsi="Tahoma" w:cs="Tahoma"/>
                <w:sz w:val="20"/>
                <w:szCs w:val="20"/>
              </w:rPr>
            </w:pPr>
            <w:r w:rsidRPr="00B15171">
              <w:rPr>
                <w:rFonts w:ascii="Tahoma" w:hAnsi="Tahoma" w:cs="Tahoma"/>
                <w:sz w:val="20"/>
                <w:szCs w:val="20"/>
              </w:rPr>
              <w:t>Debiti tributari (D12)</w:t>
            </w:r>
          </w:p>
        </w:tc>
        <w:tc>
          <w:tcPr>
            <w:tcW w:w="1559" w:type="dxa"/>
          </w:tcPr>
          <w:p w14:paraId="2D875736" w14:textId="77777777" w:rsidR="002B19BE" w:rsidRPr="00B15171" w:rsidRDefault="002B19BE" w:rsidP="00B15171">
            <w:pPr>
              <w:tabs>
                <w:tab w:val="left" w:pos="709"/>
              </w:tabs>
              <w:spacing w:after="200" w:line="360" w:lineRule="auto"/>
              <w:ind w:right="111"/>
              <w:jc w:val="right"/>
              <w:rPr>
                <w:rFonts w:ascii="Tahoma" w:hAnsi="Tahoma" w:cs="Tahoma"/>
                <w:sz w:val="20"/>
                <w:szCs w:val="20"/>
              </w:rPr>
            </w:pPr>
            <w:r w:rsidRPr="00B15171">
              <w:rPr>
                <w:rFonts w:ascii="Tahoma" w:hAnsi="Tahoma" w:cs="Tahoma"/>
                <w:sz w:val="20"/>
                <w:szCs w:val="20"/>
              </w:rPr>
              <w:t>13,50</w:t>
            </w:r>
          </w:p>
        </w:tc>
      </w:tr>
    </w:tbl>
    <w:p w14:paraId="20DE979A" w14:textId="77777777" w:rsidR="002B19BE" w:rsidRPr="00B15171" w:rsidRDefault="002B19B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
          <w:iCs/>
          <w:sz w:val="20"/>
          <w:szCs w:val="20"/>
          <w:bdr w:val="none" w:sz="0" w:space="0" w:color="auto" w:frame="1"/>
        </w:rPr>
      </w:pPr>
      <w:r w:rsidRPr="00B15171">
        <w:rPr>
          <w:rFonts w:ascii="Tahoma" w:hAnsi="Tahoma" w:cs="Tahoma"/>
          <w:bCs/>
          <w:i/>
          <w:iCs/>
          <w:sz w:val="20"/>
          <w:szCs w:val="20"/>
          <w:bdr w:val="none" w:sz="0" w:space="0" w:color="auto" w:frame="1"/>
        </w:rPr>
        <w:t>Causale: Riversamento Fondo Imposte differite Irap per ammortamento indeducibile</w:t>
      </w:r>
    </w:p>
    <w:p w14:paraId="7DA0677D" w14:textId="77777777" w:rsidR="002B19BE" w:rsidRPr="00B15171" w:rsidRDefault="002B19BE" w:rsidP="00B15171">
      <w:pPr>
        <w:spacing w:after="200" w:line="360" w:lineRule="auto"/>
        <w:jc w:val="both"/>
        <w:rPr>
          <w:rFonts w:ascii="Tahoma" w:hAnsi="Tahoma" w:cs="Tahoma"/>
          <w:bCs/>
          <w:sz w:val="20"/>
          <w:szCs w:val="20"/>
        </w:rPr>
      </w:pPr>
    </w:p>
    <w:p w14:paraId="79D88107" w14:textId="713308E2" w:rsidR="00FF4B1A" w:rsidRPr="00B15171" w:rsidRDefault="00A8032F" w:rsidP="00B15171">
      <w:pPr>
        <w:pStyle w:val="Titolo2"/>
      </w:pPr>
      <w:bookmarkStart w:id="16" w:name="_Toc161309102"/>
      <w:r>
        <w:t>4</w:t>
      </w:r>
      <w:r w:rsidR="008F3C03" w:rsidRPr="00B15171">
        <w:t>.</w:t>
      </w:r>
      <w:r w:rsidR="002B19BE" w:rsidRPr="00B15171">
        <w:t>4</w:t>
      </w:r>
      <w:r w:rsidR="00FF4B1A" w:rsidRPr="00B15171">
        <w:t xml:space="preserve"> Il ruolo del collegio sindacale</w:t>
      </w:r>
      <w:r w:rsidR="002B19BE" w:rsidRPr="00B15171">
        <w:t xml:space="preserve"> per il bilancio 202</w:t>
      </w:r>
      <w:r w:rsidR="007F55ED">
        <w:rPr>
          <w:lang w:val="it-IT"/>
        </w:rPr>
        <w:t>3</w:t>
      </w:r>
      <w:bookmarkEnd w:id="16"/>
    </w:p>
    <w:p w14:paraId="01DAEAB9" w14:textId="77777777" w:rsidR="00FF4B1A" w:rsidRPr="00B15171" w:rsidRDefault="00FF4B1A" w:rsidP="00B15171">
      <w:pPr>
        <w:spacing w:after="200" w:line="360" w:lineRule="auto"/>
        <w:jc w:val="both"/>
        <w:rPr>
          <w:rFonts w:ascii="Tahoma" w:hAnsi="Tahoma" w:cs="Tahoma"/>
          <w:sz w:val="20"/>
          <w:szCs w:val="20"/>
        </w:rPr>
      </w:pPr>
      <w:r w:rsidRPr="00B15171">
        <w:rPr>
          <w:rFonts w:ascii="Tahoma" w:hAnsi="Tahoma" w:cs="Tahoma"/>
          <w:sz w:val="20"/>
          <w:szCs w:val="20"/>
        </w:rPr>
        <w:t>La deroga è ovviamente l’esercizio da parte della società di una facoltà concessa dalla legge. Il collegio sindacale dovrà quindi vigilar</w:t>
      </w:r>
      <w:r w:rsidR="00C959EE" w:rsidRPr="00B15171">
        <w:rPr>
          <w:rFonts w:ascii="Tahoma" w:hAnsi="Tahoma" w:cs="Tahoma"/>
          <w:sz w:val="20"/>
          <w:szCs w:val="20"/>
        </w:rPr>
        <w:t>e sulla deroga, per verificare se la società ha correttamente adempiuto a quanto richiesto dalla legge.</w:t>
      </w:r>
    </w:p>
    <w:p w14:paraId="466B7461" w14:textId="6F92C08B" w:rsidR="00C959EE" w:rsidRPr="00B15171"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sz w:val="20"/>
          <w:szCs w:val="20"/>
        </w:rPr>
        <w:t xml:space="preserve">Sarà quindi centrale per il collegio sindacale innanzitutto verificare che l’esercizio della deroga sia avvenuto nel rispetto della disciplina specifica e che siano state rispettate le esigenze di informativa in ordine alle </w:t>
      </w:r>
      <w:r w:rsidRPr="00B15171">
        <w:rPr>
          <w:rFonts w:ascii="Tahoma" w:hAnsi="Tahoma" w:cs="Tahoma"/>
          <w:bCs/>
          <w:iCs/>
          <w:sz w:val="20"/>
          <w:szCs w:val="20"/>
          <w:bdr w:val="none" w:sz="0" w:space="0" w:color="auto" w:frame="1"/>
        </w:rPr>
        <w:t xml:space="preserve">ragioni della deroga, nonché dell'iscrizione e dell'importo della corrispondente riserva indisponibile, </w:t>
      </w:r>
      <w:r w:rsidR="007B31B4" w:rsidRPr="00B15171">
        <w:rPr>
          <w:rFonts w:ascii="Tahoma" w:hAnsi="Tahoma" w:cs="Tahoma"/>
          <w:bCs/>
          <w:iCs/>
          <w:sz w:val="20"/>
          <w:szCs w:val="20"/>
          <w:bdr w:val="none" w:sz="0" w:space="0" w:color="auto" w:frame="1"/>
        </w:rPr>
        <w:t>con indicazione del</w:t>
      </w:r>
      <w:r w:rsidRPr="00B15171">
        <w:rPr>
          <w:rFonts w:ascii="Tahoma" w:hAnsi="Tahoma" w:cs="Tahoma"/>
          <w:bCs/>
          <w:iCs/>
          <w:sz w:val="20"/>
          <w:szCs w:val="20"/>
          <w:bdr w:val="none" w:sz="0" w:space="0" w:color="auto" w:frame="1"/>
        </w:rPr>
        <w:t>l'influenza sulla rappresentazione della situazione patrimoniale e  finanziaria  e  del  risultato  economico dell'esercizio.</w:t>
      </w:r>
    </w:p>
    <w:p w14:paraId="235C776C" w14:textId="47BD9A6C" w:rsidR="00C959EE" w:rsidRPr="00B15171"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Particolare attenzione deve prestare il collegio sindacale in sede di approvazione del bilancio di esercizio 202</w:t>
      </w:r>
      <w:r w:rsidR="007F55ED">
        <w:rPr>
          <w:rFonts w:ascii="Tahoma" w:hAnsi="Tahoma" w:cs="Tahoma"/>
          <w:bCs/>
          <w:iCs/>
          <w:sz w:val="20"/>
          <w:szCs w:val="20"/>
          <w:bdr w:val="none" w:sz="0" w:space="0" w:color="auto" w:frame="1"/>
        </w:rPr>
        <w:t>3</w:t>
      </w:r>
      <w:r w:rsidRPr="00B15171">
        <w:rPr>
          <w:rFonts w:ascii="Tahoma" w:hAnsi="Tahoma" w:cs="Tahoma"/>
          <w:bCs/>
          <w:iCs/>
          <w:sz w:val="20"/>
          <w:szCs w:val="20"/>
          <w:bdr w:val="none" w:sz="0" w:space="0" w:color="auto" w:frame="1"/>
        </w:rPr>
        <w:t xml:space="preserve">: laddove infatti la società si sia avvalsa della deroga sugli ammortamenti, il collegio deve vigilare in correlazione alla deliberazione di </w:t>
      </w:r>
      <w:r w:rsidR="007D385F" w:rsidRPr="00B15171">
        <w:rPr>
          <w:rFonts w:ascii="Tahoma" w:hAnsi="Tahoma" w:cs="Tahoma"/>
          <w:bCs/>
          <w:iCs/>
          <w:sz w:val="20"/>
          <w:szCs w:val="20"/>
          <w:bdr w:val="none" w:sz="0" w:space="0" w:color="auto" w:frame="1"/>
        </w:rPr>
        <w:t>destina</w:t>
      </w:r>
      <w:r w:rsidRPr="00B15171">
        <w:rPr>
          <w:rFonts w:ascii="Tahoma" w:hAnsi="Tahoma" w:cs="Tahoma"/>
          <w:bCs/>
          <w:iCs/>
          <w:sz w:val="20"/>
          <w:szCs w:val="20"/>
          <w:bdr w:val="none" w:sz="0" w:space="0" w:color="auto" w:frame="1"/>
        </w:rPr>
        <w:t>zione dell’utile di esercizio, in modo che la società destini a riserva indisponibile un importo pari a quello degli ammortamenti non effettuati o, in caso di utile inferiore all’importo degli ammortamenti non effettuati, venga eseguita la destinazione mediante utilizzo di utili degli esercizi precedenti o di riserve disponibili.</w:t>
      </w:r>
    </w:p>
    <w:p w14:paraId="2D5E2DF9" w14:textId="77777777" w:rsidR="00C959EE" w:rsidRPr="00B15171"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In caso di insufficienza anche di tali voci, il collegio dovrà vigilare in sede di approvazione dei bilanci degli esercizi successivi, in quanto </w:t>
      </w:r>
      <w:r w:rsidR="007D385F" w:rsidRPr="00B15171">
        <w:rPr>
          <w:rFonts w:ascii="Tahoma" w:hAnsi="Tahoma" w:cs="Tahoma"/>
          <w:bCs/>
          <w:iCs/>
          <w:sz w:val="20"/>
          <w:szCs w:val="20"/>
          <w:bdr w:val="none" w:sz="0" w:space="0" w:color="auto" w:frame="1"/>
        </w:rPr>
        <w:t>permane</w:t>
      </w:r>
      <w:r w:rsidRPr="00B15171">
        <w:rPr>
          <w:rFonts w:ascii="Tahoma" w:hAnsi="Tahoma" w:cs="Tahoma"/>
          <w:bCs/>
          <w:iCs/>
          <w:sz w:val="20"/>
          <w:szCs w:val="20"/>
          <w:bdr w:val="none" w:sz="0" w:space="0" w:color="auto" w:frame="1"/>
        </w:rPr>
        <w:t xml:space="preserve"> l’obbligo per la società di costituire la riserva indisponibile</w:t>
      </w:r>
      <w:r w:rsidR="00765E06" w:rsidRPr="00B15171">
        <w:rPr>
          <w:rFonts w:ascii="Tahoma" w:hAnsi="Tahoma" w:cs="Tahoma"/>
          <w:bCs/>
          <w:iCs/>
          <w:sz w:val="20"/>
          <w:szCs w:val="20"/>
          <w:bdr w:val="none" w:sz="0" w:space="0" w:color="auto" w:frame="1"/>
        </w:rPr>
        <w:t xml:space="preserve"> per un importo pari agli ammortamenti non effettuati</w:t>
      </w:r>
      <w:r w:rsidRPr="00B15171">
        <w:rPr>
          <w:rFonts w:ascii="Tahoma" w:hAnsi="Tahoma" w:cs="Tahoma"/>
          <w:bCs/>
          <w:iCs/>
          <w:sz w:val="20"/>
          <w:szCs w:val="20"/>
          <w:bdr w:val="none" w:sz="0" w:space="0" w:color="auto" w:frame="1"/>
        </w:rPr>
        <w:t>.</w:t>
      </w:r>
    </w:p>
    <w:p w14:paraId="111664BA" w14:textId="11995D76" w:rsidR="00C959EE" w:rsidRDefault="00C959E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In sede di relazione del collegio sindacale, l’indicazione sull’esercizio della deroga può essere dat</w:t>
      </w:r>
      <w:r w:rsidR="007D4324" w:rsidRPr="00B15171">
        <w:rPr>
          <w:rFonts w:ascii="Tahoma" w:hAnsi="Tahoma" w:cs="Tahoma"/>
          <w:bCs/>
          <w:iCs/>
          <w:sz w:val="20"/>
          <w:szCs w:val="20"/>
          <w:bdr w:val="none" w:sz="0" w:space="0" w:color="auto" w:frame="1"/>
        </w:rPr>
        <w:t>a</w:t>
      </w:r>
      <w:r w:rsidRPr="00B15171">
        <w:rPr>
          <w:rFonts w:ascii="Tahoma" w:hAnsi="Tahoma" w:cs="Tahoma"/>
          <w:bCs/>
          <w:iCs/>
          <w:sz w:val="20"/>
          <w:szCs w:val="20"/>
          <w:bdr w:val="none" w:sz="0" w:space="0" w:color="auto" w:frame="1"/>
        </w:rPr>
        <w:t xml:space="preserve"> nel seguente modo:</w:t>
      </w:r>
    </w:p>
    <w:tbl>
      <w:tblPr>
        <w:tblStyle w:val="Grigliatabella"/>
        <w:tblW w:w="0" w:type="auto"/>
        <w:tblLook w:val="04A0" w:firstRow="1" w:lastRow="0" w:firstColumn="1" w:lastColumn="0" w:noHBand="0" w:noVBand="1"/>
      </w:tblPr>
      <w:tblGrid>
        <w:gridCol w:w="9628"/>
      </w:tblGrid>
      <w:tr w:rsidR="002026C0" w14:paraId="562ED39E" w14:textId="77777777" w:rsidTr="002026C0">
        <w:tc>
          <w:tcPr>
            <w:tcW w:w="9628" w:type="dxa"/>
          </w:tcPr>
          <w:p w14:paraId="2018DA21"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Cs/>
                <w:iCs/>
                <w:sz w:val="20"/>
                <w:szCs w:val="20"/>
                <w:bdr w:val="none" w:sz="0" w:space="0" w:color="auto" w:frame="1"/>
              </w:rPr>
            </w:pPr>
            <w:r w:rsidRPr="002026C0">
              <w:rPr>
                <w:rFonts w:ascii="Tahoma" w:hAnsi="Tahoma" w:cs="Tahoma"/>
                <w:bCs/>
                <w:iCs/>
                <w:sz w:val="20"/>
                <w:szCs w:val="20"/>
                <w:bdr w:val="none" w:sz="0" w:space="0" w:color="auto" w:frame="1"/>
              </w:rPr>
              <w:t>…</w:t>
            </w:r>
          </w:p>
          <w:p w14:paraId="7474E313"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Cs/>
                <w:iCs/>
                <w:sz w:val="20"/>
                <w:szCs w:val="20"/>
                <w:bdr w:val="none" w:sz="0" w:space="0" w:color="auto" w:frame="1"/>
              </w:rPr>
            </w:pPr>
            <w:r w:rsidRPr="002026C0">
              <w:rPr>
                <w:rFonts w:ascii="Tahoma" w:hAnsi="Tahoma" w:cs="Tahoma"/>
                <w:bCs/>
                <w:iCs/>
                <w:sz w:val="20"/>
                <w:szCs w:val="20"/>
                <w:bdr w:val="none" w:sz="0" w:space="0" w:color="auto" w:frame="1"/>
              </w:rPr>
              <w:t xml:space="preserve">B2) Osservazioni in ordine al bilancio d’esercizio </w:t>
            </w:r>
          </w:p>
          <w:p w14:paraId="43384DDB"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Cs/>
                <w:iCs/>
                <w:sz w:val="20"/>
                <w:szCs w:val="20"/>
                <w:bdr w:val="none" w:sz="0" w:space="0" w:color="auto" w:frame="1"/>
              </w:rPr>
            </w:pPr>
            <w:r w:rsidRPr="002026C0">
              <w:rPr>
                <w:rFonts w:ascii="Tahoma" w:hAnsi="Tahoma" w:cs="Tahoma"/>
                <w:bCs/>
                <w:iCs/>
                <w:sz w:val="20"/>
                <w:szCs w:val="20"/>
                <w:bdr w:val="none" w:sz="0" w:space="0" w:color="auto" w:frame="1"/>
              </w:rPr>
              <w:t xml:space="preserve">Per quanto a mia conoscenza, gli amministratori, nella redazione del bilancio, non hanno derogato alle norme di legge ai sensi dell’art. 2423, comma 5, c.c.. </w:t>
            </w:r>
          </w:p>
          <w:p w14:paraId="620FB16F"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Cs/>
                <w:iCs/>
                <w:sz w:val="20"/>
                <w:szCs w:val="20"/>
                <w:bdr w:val="none" w:sz="0" w:space="0" w:color="auto" w:frame="1"/>
              </w:rPr>
            </w:pPr>
            <w:r w:rsidRPr="002026C0">
              <w:rPr>
                <w:rFonts w:ascii="Tahoma" w:hAnsi="Tahoma" w:cs="Tahoma"/>
                <w:bCs/>
                <w:iCs/>
                <w:sz w:val="20"/>
                <w:szCs w:val="20"/>
                <w:bdr w:val="none" w:sz="0" w:space="0" w:color="auto" w:frame="1"/>
              </w:rPr>
              <w:t>Gli amministratori hanno invece applicato la deroga prevista dal comma 3-bis dell’articolo 60 del DL 104/2020, convertito con modificazioni dalla L. 126/2020, non effettuando gli ammortamenti delle immobilizzazioni materiali ed immateriali.</w:t>
            </w:r>
          </w:p>
          <w:p w14:paraId="0F16D83A" w14:textId="77777777" w:rsidR="002026C0" w:rsidRP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Cs/>
                <w:iCs/>
                <w:sz w:val="20"/>
                <w:szCs w:val="20"/>
                <w:bdr w:val="none" w:sz="0" w:space="0" w:color="auto" w:frame="1"/>
              </w:rPr>
            </w:pPr>
            <w:r w:rsidRPr="002026C0">
              <w:rPr>
                <w:rFonts w:ascii="Tahoma" w:hAnsi="Tahoma" w:cs="Tahoma"/>
                <w:bCs/>
                <w:iCs/>
                <w:sz w:val="20"/>
                <w:szCs w:val="20"/>
                <w:bdr w:val="none" w:sz="0" w:space="0" w:color="auto" w:frame="1"/>
              </w:rPr>
              <w:lastRenderedPageBreak/>
              <w:t>La facoltà di deroga è stata applicata per il 100% degli ammortamenti sia per l’anno 2022 che per l’anno 2023.</w:t>
            </w:r>
          </w:p>
          <w:p w14:paraId="5E49F452" w14:textId="7A71E7EF" w:rsidR="002026C0" w:rsidRDefault="002026C0" w:rsidP="00202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jc w:val="both"/>
              <w:rPr>
                <w:rFonts w:ascii="Tahoma" w:hAnsi="Tahoma" w:cs="Tahoma"/>
                <w:bCs/>
                <w:iCs/>
                <w:sz w:val="20"/>
                <w:szCs w:val="20"/>
                <w:bdr w:val="none" w:sz="0" w:space="0" w:color="auto" w:frame="1"/>
              </w:rPr>
            </w:pPr>
            <w:r w:rsidRPr="002026C0">
              <w:rPr>
                <w:rFonts w:ascii="Tahoma" w:hAnsi="Tahoma" w:cs="Tahoma"/>
                <w:bCs/>
                <w:iCs/>
                <w:sz w:val="20"/>
                <w:szCs w:val="20"/>
                <w:bdr w:val="none" w:sz="0" w:space="0" w:color="auto" w:frame="1"/>
              </w:rPr>
              <w:t>In sede di approvazione del bilancio i soci dovranno deliberare la destinazione ad una riserva indisponibile della quota di utile pari agli ammortamenti non effettuati.</w:t>
            </w:r>
          </w:p>
        </w:tc>
      </w:tr>
    </w:tbl>
    <w:p w14:paraId="01F4F275" w14:textId="77777777" w:rsidR="00BB0E62" w:rsidRPr="00B15171" w:rsidRDefault="00BB0E62" w:rsidP="00B15171">
      <w:pPr>
        <w:spacing w:after="200" w:line="360" w:lineRule="auto"/>
        <w:jc w:val="both"/>
        <w:rPr>
          <w:rFonts w:ascii="Tahoma" w:hAnsi="Tahoma" w:cs="Tahoma"/>
          <w:sz w:val="20"/>
          <w:szCs w:val="20"/>
        </w:rPr>
      </w:pPr>
    </w:p>
    <w:p w14:paraId="4AE7552D" w14:textId="74AADFE9" w:rsidR="00A06348" w:rsidRPr="00B15171" w:rsidRDefault="00A8032F" w:rsidP="00B15171">
      <w:pPr>
        <w:pStyle w:val="Titolo2"/>
      </w:pPr>
      <w:bookmarkStart w:id="17" w:name="_Toc161309103"/>
      <w:r>
        <w:t>4</w:t>
      </w:r>
      <w:r w:rsidR="00A06348" w:rsidRPr="00B15171">
        <w:t>.</w:t>
      </w:r>
      <w:r w:rsidR="00BB0E62" w:rsidRPr="00B15171">
        <w:t>5</w:t>
      </w:r>
      <w:r w:rsidR="00A06348" w:rsidRPr="00B15171">
        <w:t xml:space="preserve"> Il ruolo del revisore</w:t>
      </w:r>
      <w:r w:rsidR="00BB0E62" w:rsidRPr="00B15171">
        <w:t xml:space="preserve"> per il bilancio 202</w:t>
      </w:r>
      <w:r w:rsidR="007F55ED">
        <w:rPr>
          <w:lang w:val="it-IT"/>
        </w:rPr>
        <w:t>3</w:t>
      </w:r>
      <w:bookmarkEnd w:id="17"/>
    </w:p>
    <w:p w14:paraId="27BB86E6" w14:textId="77777777" w:rsidR="00A06348" w:rsidRPr="00B15171" w:rsidRDefault="00A06348" w:rsidP="00B15171">
      <w:pPr>
        <w:spacing w:after="200" w:line="360" w:lineRule="auto"/>
        <w:jc w:val="both"/>
        <w:rPr>
          <w:rFonts w:ascii="Tahoma" w:hAnsi="Tahoma" w:cs="Tahoma"/>
          <w:sz w:val="20"/>
          <w:szCs w:val="20"/>
        </w:rPr>
      </w:pPr>
      <w:r w:rsidRPr="00B15171">
        <w:rPr>
          <w:rFonts w:ascii="Tahoma" w:hAnsi="Tahoma" w:cs="Tahoma"/>
          <w:sz w:val="20"/>
          <w:szCs w:val="20"/>
        </w:rPr>
        <w:t>La deroga va analizzata anche dall’organo di revisione.</w:t>
      </w:r>
    </w:p>
    <w:p w14:paraId="60330071" w14:textId="77777777" w:rsidR="00A06348" w:rsidRPr="00B15171" w:rsidRDefault="00912B35" w:rsidP="00B15171">
      <w:pPr>
        <w:spacing w:after="200" w:line="360" w:lineRule="auto"/>
        <w:jc w:val="both"/>
        <w:rPr>
          <w:rFonts w:ascii="Tahoma" w:hAnsi="Tahoma" w:cs="Tahoma"/>
          <w:sz w:val="20"/>
          <w:szCs w:val="20"/>
        </w:rPr>
      </w:pPr>
      <w:r w:rsidRPr="00B15171">
        <w:rPr>
          <w:rFonts w:ascii="Tahoma" w:hAnsi="Tahoma" w:cs="Tahoma"/>
          <w:sz w:val="20"/>
          <w:szCs w:val="20"/>
        </w:rPr>
        <w:t>L’esercizio della deroga comporta che il revisore debba</w:t>
      </w:r>
      <w:r w:rsidR="007D385F" w:rsidRPr="00B15171">
        <w:rPr>
          <w:rFonts w:ascii="Tahoma" w:hAnsi="Tahoma" w:cs="Tahoma"/>
          <w:sz w:val="20"/>
          <w:szCs w:val="20"/>
        </w:rPr>
        <w:t xml:space="preserve"> adeguare le </w:t>
      </w:r>
      <w:r w:rsidRPr="00B15171">
        <w:rPr>
          <w:rFonts w:ascii="Tahoma" w:hAnsi="Tahoma" w:cs="Tahoma"/>
          <w:sz w:val="20"/>
          <w:szCs w:val="20"/>
        </w:rPr>
        <w:t>procedure di revisione in merito alle quote di ammortamento dell’esercizio.</w:t>
      </w:r>
    </w:p>
    <w:p w14:paraId="1FA4D58E" w14:textId="77777777" w:rsidR="00912B35" w:rsidRPr="00B15171" w:rsidRDefault="00912B35" w:rsidP="00B15171">
      <w:pPr>
        <w:spacing w:after="200" w:line="360" w:lineRule="auto"/>
        <w:jc w:val="both"/>
        <w:rPr>
          <w:rFonts w:ascii="Tahoma" w:hAnsi="Tahoma" w:cs="Tahoma"/>
          <w:sz w:val="20"/>
          <w:szCs w:val="20"/>
        </w:rPr>
      </w:pPr>
      <w:r w:rsidRPr="00B15171">
        <w:rPr>
          <w:rFonts w:ascii="Tahoma" w:hAnsi="Tahoma" w:cs="Tahoma"/>
          <w:sz w:val="20"/>
          <w:szCs w:val="20"/>
        </w:rPr>
        <w:t>La tipica procedura di revisione consiste nell’analisi comparativa che viene effettuata per vagliare che la società abbia correttamente calcolato gli ammortamenti, procedendo poi ad indagare su eventuali scostamenti tra l’importo ricalcolato dal revisore e l’importo imputato in bilancio.</w:t>
      </w:r>
    </w:p>
    <w:p w14:paraId="791E8369" w14:textId="6BF196F2" w:rsidR="00912B35" w:rsidRPr="00B15171" w:rsidRDefault="00912B35"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La verifica del revisore sarà quindi diretta a verificare</w:t>
      </w:r>
      <w:r w:rsidR="00BB0E62" w:rsidRPr="00B15171">
        <w:rPr>
          <w:rFonts w:ascii="Tahoma" w:hAnsi="Tahoma" w:cs="Tahoma"/>
          <w:bCs/>
          <w:iCs/>
          <w:sz w:val="20"/>
          <w:szCs w:val="20"/>
          <w:bdr w:val="none" w:sz="0" w:space="0" w:color="auto" w:frame="1"/>
        </w:rPr>
        <w:t xml:space="preserve"> </w:t>
      </w:r>
      <w:r w:rsidRPr="00B15171">
        <w:rPr>
          <w:rFonts w:ascii="Tahoma" w:hAnsi="Tahoma" w:cs="Tahoma"/>
          <w:bCs/>
          <w:iCs/>
          <w:sz w:val="20"/>
          <w:szCs w:val="20"/>
          <w:bdr w:val="none" w:sz="0" w:space="0" w:color="auto" w:frame="1"/>
        </w:rPr>
        <w:t xml:space="preserve">che i beni sui quali gli ammortamenti non siano stati effettuati siano ancora esistenti </w:t>
      </w:r>
      <w:r w:rsidR="00DB5EEF" w:rsidRPr="00B15171">
        <w:rPr>
          <w:rFonts w:ascii="Tahoma" w:hAnsi="Tahoma" w:cs="Tahoma"/>
          <w:bCs/>
          <w:iCs/>
          <w:sz w:val="20"/>
          <w:szCs w:val="20"/>
          <w:bdr w:val="none" w:sz="0" w:space="0" w:color="auto" w:frame="1"/>
        </w:rPr>
        <w:t xml:space="preserve">alla chiusura dell’esercizio </w:t>
      </w:r>
      <w:r w:rsidRPr="00B15171">
        <w:rPr>
          <w:rFonts w:ascii="Tahoma" w:hAnsi="Tahoma" w:cs="Tahoma"/>
          <w:bCs/>
          <w:iCs/>
          <w:sz w:val="20"/>
          <w:szCs w:val="20"/>
          <w:bdr w:val="none" w:sz="0" w:space="0" w:color="auto" w:frame="1"/>
        </w:rPr>
        <w:t>e quindi che in generale la loro iscrizione nell’Attivo del bilancio sia corretta.</w:t>
      </w:r>
    </w:p>
    <w:p w14:paraId="66EE6B24" w14:textId="14C96DF7" w:rsidR="00DB5EEF" w:rsidRPr="00B15171" w:rsidRDefault="00DB5EEF"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Ovviamente restano valide tutte le procedure di revisione </w:t>
      </w:r>
      <w:r w:rsidR="00BB0E62" w:rsidRPr="00B15171">
        <w:rPr>
          <w:rFonts w:ascii="Tahoma" w:hAnsi="Tahoma" w:cs="Tahoma"/>
          <w:bCs/>
          <w:iCs/>
          <w:sz w:val="20"/>
          <w:szCs w:val="20"/>
          <w:bdr w:val="none" w:sz="0" w:space="0" w:color="auto" w:frame="1"/>
        </w:rPr>
        <w:t>concernenti</w:t>
      </w:r>
      <w:r w:rsidRPr="00B15171">
        <w:rPr>
          <w:rFonts w:ascii="Tahoma" w:hAnsi="Tahoma" w:cs="Tahoma"/>
          <w:bCs/>
          <w:iCs/>
          <w:sz w:val="20"/>
          <w:szCs w:val="20"/>
          <w:bdr w:val="none" w:sz="0" w:space="0" w:color="auto" w:frame="1"/>
        </w:rPr>
        <w:t xml:space="preserve"> il ciclo delle Immobilizzazioni, con l’unica eccezione di quelle procedure volte a verificare gli ammortamenti non eseguiti.</w:t>
      </w:r>
      <w:r w:rsidR="00146924" w:rsidRPr="00B15171">
        <w:rPr>
          <w:rFonts w:ascii="Tahoma" w:hAnsi="Tahoma" w:cs="Tahoma"/>
          <w:bCs/>
          <w:iCs/>
          <w:sz w:val="20"/>
          <w:szCs w:val="20"/>
          <w:bdr w:val="none" w:sz="0" w:space="0" w:color="auto" w:frame="1"/>
        </w:rPr>
        <w:t xml:space="preserve"> Il revisore dovrà poi verificare, in caso di deduzione ai fini fiscali degli ammortamenti sospesi, l’avvenuta iscrizione del Fondo Imposte differite.</w:t>
      </w:r>
    </w:p>
    <w:p w14:paraId="63912A81" w14:textId="77777777" w:rsidR="00912B35" w:rsidRPr="00B15171" w:rsidRDefault="00912B35"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 xml:space="preserve">L’analisi dovrà poi concentrarsi sulle indicazioni che la società fornisce in nota integrativa in merito </w:t>
      </w:r>
      <w:r w:rsidRPr="00B15171">
        <w:rPr>
          <w:rFonts w:ascii="Tahoma" w:hAnsi="Tahoma" w:cs="Tahoma"/>
          <w:sz w:val="20"/>
          <w:szCs w:val="20"/>
        </w:rPr>
        <w:t xml:space="preserve">alle </w:t>
      </w:r>
      <w:r w:rsidRPr="00B15171">
        <w:rPr>
          <w:rFonts w:ascii="Tahoma" w:hAnsi="Tahoma" w:cs="Tahoma"/>
          <w:bCs/>
          <w:iCs/>
          <w:sz w:val="20"/>
          <w:szCs w:val="20"/>
          <w:bdr w:val="none" w:sz="0" w:space="0" w:color="auto" w:frame="1"/>
        </w:rPr>
        <w:t xml:space="preserve">ragioni della deroga, all'iscrizione e all'importo della corrispondente riserva indisponibile, e all’indicazione dell'influenza sulla rappresentazione </w:t>
      </w:r>
      <w:r w:rsidR="007B31B4" w:rsidRPr="00B15171">
        <w:rPr>
          <w:rFonts w:ascii="Tahoma" w:hAnsi="Tahoma" w:cs="Tahoma"/>
          <w:bCs/>
          <w:iCs/>
          <w:sz w:val="20"/>
          <w:szCs w:val="20"/>
          <w:bdr w:val="none" w:sz="0" w:space="0" w:color="auto" w:frame="1"/>
        </w:rPr>
        <w:t>della situazione patrimoniale</w:t>
      </w:r>
      <w:r w:rsidRPr="00B15171">
        <w:rPr>
          <w:rFonts w:ascii="Tahoma" w:hAnsi="Tahoma" w:cs="Tahoma"/>
          <w:bCs/>
          <w:iCs/>
          <w:sz w:val="20"/>
          <w:szCs w:val="20"/>
          <w:bdr w:val="none" w:sz="0" w:space="0" w:color="auto" w:frame="1"/>
        </w:rPr>
        <w:t xml:space="preserve"> e  finanziaria  e  del  risultato  economico dell'esercizio.</w:t>
      </w:r>
    </w:p>
    <w:p w14:paraId="53187C51" w14:textId="77777777" w:rsidR="007B31B4" w:rsidRPr="00B15171" w:rsidRDefault="007B31B4" w:rsidP="00B15171">
      <w:pPr>
        <w:spacing w:after="200" w:line="360" w:lineRule="auto"/>
        <w:jc w:val="both"/>
        <w:rPr>
          <w:rFonts w:ascii="Tahoma" w:hAnsi="Tahoma" w:cs="Tahoma"/>
          <w:bCs/>
          <w:iCs/>
          <w:sz w:val="20"/>
          <w:szCs w:val="20"/>
          <w:bdr w:val="none" w:sz="0" w:space="0" w:color="auto" w:frame="1"/>
        </w:rPr>
      </w:pPr>
      <w:r w:rsidRPr="00B15171">
        <w:rPr>
          <w:rFonts w:ascii="Tahoma" w:hAnsi="Tahoma" w:cs="Tahoma"/>
          <w:bCs/>
          <w:iCs/>
          <w:sz w:val="20"/>
          <w:szCs w:val="20"/>
          <w:bdr w:val="none" w:sz="0" w:space="0" w:color="auto" w:frame="1"/>
        </w:rPr>
        <w:t>Il revisore deve quindi verificare se l’informativa richiesta dalla norma sia adeguata e che la previsione normativa sia soddisfatta.</w:t>
      </w:r>
    </w:p>
    <w:p w14:paraId="4BC251FC" w14:textId="27310D92" w:rsidR="00146924"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7B31B4" w:rsidRPr="00B15171">
        <w:rPr>
          <w:rFonts w:ascii="Tahoma" w:hAnsi="Tahoma" w:cs="Tahoma"/>
          <w:sz w:val="20"/>
          <w:szCs w:val="20"/>
        </w:rPr>
        <w:t xml:space="preserve"> evidente che il revisore dovrà esprimere in relazione </w:t>
      </w:r>
      <w:r w:rsidR="00DB5EEF" w:rsidRPr="00B15171">
        <w:rPr>
          <w:rFonts w:ascii="Tahoma" w:hAnsi="Tahoma" w:cs="Tahoma"/>
          <w:sz w:val="20"/>
          <w:szCs w:val="20"/>
        </w:rPr>
        <w:t xml:space="preserve">di revisione </w:t>
      </w:r>
      <w:r w:rsidR="007B31B4" w:rsidRPr="00B15171">
        <w:rPr>
          <w:rFonts w:ascii="Tahoma" w:hAnsi="Tahoma" w:cs="Tahoma"/>
          <w:sz w:val="20"/>
          <w:szCs w:val="20"/>
        </w:rPr>
        <w:t xml:space="preserve">un richiamo di informativa, in quanto la questione della deroga appare certamente come qualcosa </w:t>
      </w:r>
      <w:r w:rsidR="00C7045E" w:rsidRPr="00B15171">
        <w:rPr>
          <w:rFonts w:ascii="Tahoma" w:hAnsi="Tahoma" w:cs="Tahoma"/>
          <w:sz w:val="20"/>
          <w:szCs w:val="20"/>
        </w:rPr>
        <w:t>de</w:t>
      </w:r>
      <w:r w:rsidR="007B31B4" w:rsidRPr="00B15171">
        <w:rPr>
          <w:rFonts w:ascii="Tahoma" w:hAnsi="Tahoma" w:cs="Tahoma"/>
          <w:sz w:val="20"/>
          <w:szCs w:val="20"/>
        </w:rPr>
        <w:t>lla quale gli utilizzatori del bilancio vanno informati compiutamente.</w:t>
      </w:r>
    </w:p>
    <w:tbl>
      <w:tblPr>
        <w:tblStyle w:val="Grigliatabella"/>
        <w:tblW w:w="0" w:type="auto"/>
        <w:tblLook w:val="04A0" w:firstRow="1" w:lastRow="0" w:firstColumn="1" w:lastColumn="0" w:noHBand="0" w:noVBand="1"/>
      </w:tblPr>
      <w:tblGrid>
        <w:gridCol w:w="9628"/>
      </w:tblGrid>
      <w:tr w:rsidR="002026C0" w14:paraId="3F98E7AB" w14:textId="77777777" w:rsidTr="002026C0">
        <w:tc>
          <w:tcPr>
            <w:tcW w:w="9628" w:type="dxa"/>
          </w:tcPr>
          <w:p w14:paraId="098A38B5" w14:textId="77777777" w:rsidR="002026C0" w:rsidRPr="002026C0" w:rsidRDefault="002026C0" w:rsidP="002026C0">
            <w:pPr>
              <w:spacing w:before="60" w:after="60" w:line="326" w:lineRule="auto"/>
              <w:jc w:val="both"/>
              <w:rPr>
                <w:rFonts w:ascii="Tahoma" w:hAnsi="Tahoma" w:cs="Tahoma"/>
                <w:b/>
                <w:bCs/>
                <w:sz w:val="20"/>
                <w:szCs w:val="20"/>
              </w:rPr>
            </w:pPr>
            <w:r w:rsidRPr="002026C0">
              <w:rPr>
                <w:rFonts w:ascii="Tahoma" w:hAnsi="Tahoma" w:cs="Tahoma"/>
                <w:b/>
                <w:bCs/>
                <w:sz w:val="20"/>
                <w:szCs w:val="20"/>
              </w:rPr>
              <w:t xml:space="preserve">Richiamo di informativa – Applicazione per gli esercizi 2022 e 2023 della deroga ai sensi del comma 3-bis dell’art. 60 del DL 104/2020, </w:t>
            </w:r>
            <w:proofErr w:type="spellStart"/>
            <w:r w:rsidRPr="002026C0">
              <w:rPr>
                <w:rFonts w:ascii="Tahoma" w:hAnsi="Tahoma" w:cs="Tahoma"/>
                <w:b/>
                <w:bCs/>
                <w:sz w:val="20"/>
                <w:szCs w:val="20"/>
              </w:rPr>
              <w:t>conv</w:t>
            </w:r>
            <w:proofErr w:type="spellEnd"/>
            <w:r w:rsidRPr="002026C0">
              <w:rPr>
                <w:rFonts w:ascii="Tahoma" w:hAnsi="Tahoma" w:cs="Tahoma"/>
                <w:b/>
                <w:bCs/>
                <w:sz w:val="20"/>
                <w:szCs w:val="20"/>
              </w:rPr>
              <w:t>. con mod. dalla L. 126/2020</w:t>
            </w:r>
          </w:p>
          <w:p w14:paraId="16AE2F47" w14:textId="77777777" w:rsidR="002026C0" w:rsidRPr="002026C0" w:rsidRDefault="002026C0" w:rsidP="002026C0">
            <w:pPr>
              <w:spacing w:before="60" w:after="60" w:line="326" w:lineRule="auto"/>
              <w:jc w:val="both"/>
              <w:rPr>
                <w:rFonts w:ascii="Tahoma" w:hAnsi="Tahoma" w:cs="Tahoma"/>
                <w:sz w:val="20"/>
                <w:szCs w:val="20"/>
              </w:rPr>
            </w:pPr>
            <w:r w:rsidRPr="002026C0">
              <w:rPr>
                <w:rFonts w:ascii="Tahoma" w:hAnsi="Tahoma" w:cs="Tahoma"/>
                <w:sz w:val="20"/>
                <w:szCs w:val="20"/>
              </w:rPr>
              <w:t xml:space="preserve">Richiamo l’attenzione sul paragrafo “Esercizio della deroga ex art. 60, comma 3-bis della L. 126/2020” nel quale gli amministratori riportano che la società si è avvalsa della deroga stabilita dal comma 3-bis dell’art. 60 del DL 104/2020, </w:t>
            </w:r>
            <w:proofErr w:type="spellStart"/>
            <w:r w:rsidRPr="002026C0">
              <w:rPr>
                <w:rFonts w:ascii="Tahoma" w:hAnsi="Tahoma" w:cs="Tahoma"/>
                <w:sz w:val="20"/>
                <w:szCs w:val="20"/>
              </w:rPr>
              <w:t>conv</w:t>
            </w:r>
            <w:proofErr w:type="spellEnd"/>
            <w:r w:rsidRPr="002026C0">
              <w:rPr>
                <w:rFonts w:ascii="Tahoma" w:hAnsi="Tahoma" w:cs="Tahoma"/>
                <w:sz w:val="20"/>
                <w:szCs w:val="20"/>
              </w:rPr>
              <w:t>. con mod. dalla L.126/2020, non eseguendo gli ammortamenti dei beni materiali ed immateriali.</w:t>
            </w:r>
          </w:p>
          <w:p w14:paraId="3358811F" w14:textId="77777777" w:rsidR="002026C0" w:rsidRPr="002026C0" w:rsidRDefault="002026C0" w:rsidP="002026C0">
            <w:pPr>
              <w:spacing w:before="60" w:after="60" w:line="326" w:lineRule="auto"/>
              <w:jc w:val="both"/>
              <w:rPr>
                <w:rFonts w:ascii="Tahoma" w:hAnsi="Tahoma" w:cs="Tahoma"/>
                <w:sz w:val="20"/>
                <w:szCs w:val="20"/>
              </w:rPr>
            </w:pPr>
            <w:r w:rsidRPr="002026C0">
              <w:rPr>
                <w:rFonts w:ascii="Tahoma" w:hAnsi="Tahoma" w:cs="Tahoma"/>
                <w:sz w:val="20"/>
                <w:szCs w:val="20"/>
              </w:rPr>
              <w:lastRenderedPageBreak/>
              <w:t>La società aveva esercitato la medesima deroga anche nell’esercizio 2022.</w:t>
            </w:r>
          </w:p>
          <w:p w14:paraId="655E634B" w14:textId="77777777" w:rsidR="002026C0" w:rsidRPr="002026C0" w:rsidRDefault="002026C0" w:rsidP="002026C0">
            <w:pPr>
              <w:spacing w:before="60" w:after="60" w:line="326" w:lineRule="auto"/>
              <w:jc w:val="both"/>
              <w:rPr>
                <w:rFonts w:ascii="Tahoma" w:hAnsi="Tahoma" w:cs="Tahoma"/>
                <w:sz w:val="20"/>
                <w:szCs w:val="20"/>
              </w:rPr>
            </w:pPr>
            <w:r w:rsidRPr="002026C0">
              <w:rPr>
                <w:rFonts w:ascii="Tahoma" w:hAnsi="Tahoma" w:cs="Tahoma"/>
                <w:sz w:val="20"/>
                <w:szCs w:val="20"/>
              </w:rPr>
              <w:t>In tale paragrafo gli amministratori hanno dato informativa sulle ragioni della deroga, sull’intenzione di destinare a riserva indisponibile un importo corrispondente agli ammortamenti non eseguiti e in merito all’influenza della deroga sulla rappresentazione della situazione patrimoniale e finanziaria e del risultato economico dell’esercizio.</w:t>
            </w:r>
          </w:p>
          <w:p w14:paraId="28EA4D01" w14:textId="711416B3" w:rsidR="002026C0" w:rsidRDefault="002026C0" w:rsidP="002026C0">
            <w:pPr>
              <w:spacing w:before="60" w:after="60" w:line="326" w:lineRule="auto"/>
              <w:jc w:val="both"/>
              <w:rPr>
                <w:rFonts w:ascii="Tahoma" w:hAnsi="Tahoma" w:cs="Tahoma"/>
                <w:sz w:val="20"/>
                <w:szCs w:val="20"/>
              </w:rPr>
            </w:pPr>
            <w:r w:rsidRPr="002026C0">
              <w:rPr>
                <w:rFonts w:ascii="Tahoma" w:hAnsi="Tahoma" w:cs="Tahoma"/>
                <w:sz w:val="20"/>
                <w:szCs w:val="20"/>
              </w:rPr>
              <w:t>Il mio giudizio non è espresso con rilievi con riferimento a tale aspetto.</w:t>
            </w:r>
          </w:p>
        </w:tc>
      </w:tr>
    </w:tbl>
    <w:p w14:paraId="5D604ACF" w14:textId="77777777" w:rsidR="000A5632" w:rsidRDefault="000A5632" w:rsidP="00B15171">
      <w:pPr>
        <w:spacing w:after="200" w:line="360" w:lineRule="auto"/>
        <w:jc w:val="both"/>
        <w:rPr>
          <w:rFonts w:ascii="Tahoma" w:hAnsi="Tahoma" w:cs="Tahoma"/>
          <w:sz w:val="20"/>
          <w:szCs w:val="20"/>
        </w:rPr>
        <w:sectPr w:rsidR="000A5632" w:rsidSect="00CD27CA">
          <w:pgSz w:w="11906" w:h="16838" w:code="9"/>
          <w:pgMar w:top="1418" w:right="1134" w:bottom="1134" w:left="1134" w:header="709" w:footer="567" w:gutter="0"/>
          <w:cols w:space="708"/>
          <w:titlePg/>
          <w:docGrid w:linePitch="360"/>
        </w:sectPr>
      </w:pPr>
    </w:p>
    <w:bookmarkStart w:id="18" w:name="_Toc161309104"/>
    <w:p w14:paraId="4AFA758E" w14:textId="3B458255" w:rsidR="007B31B4" w:rsidRPr="00B15171" w:rsidRDefault="00C44095" w:rsidP="00C44095">
      <w:pPr>
        <w:pStyle w:val="Titolo1"/>
        <w:ind w:left="0" w:firstLine="0"/>
      </w:pPr>
      <w:r w:rsidRPr="00B15171">
        <w:rPr>
          <w:rFonts w:cs="Tahoma"/>
          <w:b w:val="0"/>
          <w:bCs w:val="0"/>
          <w:noProof/>
        </w:rPr>
        <w:lastRenderedPageBreak/>
        <mc:AlternateContent>
          <mc:Choice Requires="wps">
            <w:drawing>
              <wp:anchor distT="4294967292" distB="4294967292" distL="114300" distR="114300" simplePos="0" relativeHeight="251678720" behindDoc="0" locked="0" layoutInCell="1" allowOverlap="1" wp14:anchorId="3D77F9DD" wp14:editId="294D713E">
                <wp:simplePos x="0" y="0"/>
                <wp:positionH relativeFrom="margin">
                  <wp:align>center</wp:align>
                </wp:positionH>
                <wp:positionV relativeFrom="paragraph">
                  <wp:posOffset>296010</wp:posOffset>
                </wp:positionV>
                <wp:extent cx="2443480" cy="0"/>
                <wp:effectExtent l="19050" t="19050" r="33020" b="38100"/>
                <wp:wrapNone/>
                <wp:docPr id="15" name="Connettore 2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F47D22" id="Connettore 2 15" o:spid="_x0000_s1026" type="#_x0000_t32" style="position:absolute;margin-left:0;margin-top:23.3pt;width:192.4pt;height:0;z-index:251678720;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" strokecolor="#404040" strokeweight=".53mm">
                <v:stroke joinstyle="miter" endcap="square"/>
                <w10:wrap anchorx="margin"/>
              </v:shape>
            </w:pict>
          </mc:Fallback>
        </mc:AlternateContent>
      </w:r>
      <w:r w:rsidR="00A8032F">
        <w:t>5</w:t>
      </w:r>
      <w:r w:rsidR="007D3588" w:rsidRPr="00B15171">
        <w:t>.</w:t>
      </w:r>
      <w:r w:rsidRPr="003B3176">
        <w:br/>
      </w:r>
      <w:r w:rsidR="007D3588" w:rsidRPr="00B15171">
        <w:t>L</w:t>
      </w:r>
      <w:r w:rsidR="000A5632" w:rsidRPr="00B15171">
        <w:t>a disciplina speciale delle perdite</w:t>
      </w:r>
      <w:r w:rsidR="00475102">
        <w:rPr>
          <w:lang w:val="it-IT"/>
        </w:rPr>
        <w:t>. Impatto sul bilancio 2023</w:t>
      </w:r>
      <w:bookmarkEnd w:id="18"/>
    </w:p>
    <w:p w14:paraId="057C9564" w14:textId="547B3A6B" w:rsidR="00FF4B1A" w:rsidRDefault="00FF4B1A" w:rsidP="00B15171">
      <w:pPr>
        <w:spacing w:after="200" w:line="360" w:lineRule="auto"/>
        <w:jc w:val="both"/>
        <w:rPr>
          <w:rFonts w:ascii="Tahoma" w:hAnsi="Tahoma" w:cs="Tahoma"/>
          <w:sz w:val="20"/>
          <w:szCs w:val="20"/>
        </w:rPr>
      </w:pPr>
    </w:p>
    <w:p w14:paraId="5F82DEB5" w14:textId="3AA6A06B" w:rsidR="000A5632" w:rsidRDefault="000A5632" w:rsidP="00B15171">
      <w:pPr>
        <w:spacing w:after="200" w:line="360" w:lineRule="auto"/>
        <w:jc w:val="both"/>
        <w:rPr>
          <w:rFonts w:ascii="Tahoma" w:hAnsi="Tahoma" w:cs="Tahoma"/>
          <w:sz w:val="20"/>
          <w:szCs w:val="20"/>
        </w:rPr>
      </w:pPr>
    </w:p>
    <w:p w14:paraId="2564FA78" w14:textId="2DE9A004" w:rsidR="000A5632" w:rsidRDefault="000A5632" w:rsidP="00B15171">
      <w:pPr>
        <w:spacing w:after="200" w:line="360" w:lineRule="auto"/>
        <w:jc w:val="both"/>
        <w:rPr>
          <w:rFonts w:ascii="Tahoma" w:hAnsi="Tahoma" w:cs="Tahoma"/>
          <w:sz w:val="20"/>
          <w:szCs w:val="20"/>
        </w:rPr>
      </w:pPr>
    </w:p>
    <w:p w14:paraId="76AC8BCC" w14:textId="5FA2AF05" w:rsidR="000A5632" w:rsidRDefault="000A5632" w:rsidP="00B15171">
      <w:pPr>
        <w:spacing w:after="200" w:line="360" w:lineRule="auto"/>
        <w:jc w:val="both"/>
        <w:rPr>
          <w:rFonts w:ascii="Tahoma" w:hAnsi="Tahoma" w:cs="Tahoma"/>
          <w:sz w:val="20"/>
          <w:szCs w:val="20"/>
        </w:rPr>
      </w:pPr>
    </w:p>
    <w:p w14:paraId="348634D8" w14:textId="1BA61F88" w:rsidR="000A5632" w:rsidRDefault="000A5632" w:rsidP="00B15171">
      <w:pPr>
        <w:spacing w:after="200" w:line="360" w:lineRule="auto"/>
        <w:jc w:val="both"/>
        <w:rPr>
          <w:rFonts w:ascii="Tahoma" w:hAnsi="Tahoma" w:cs="Tahoma"/>
          <w:sz w:val="20"/>
          <w:szCs w:val="20"/>
        </w:rPr>
      </w:pPr>
    </w:p>
    <w:p w14:paraId="4F146ECF" w14:textId="4376403E" w:rsidR="000A5632" w:rsidRPr="00B15171" w:rsidRDefault="000A5632" w:rsidP="00B15171">
      <w:pPr>
        <w:spacing w:after="200" w:line="360" w:lineRule="auto"/>
        <w:jc w:val="both"/>
        <w:rPr>
          <w:rFonts w:ascii="Tahoma" w:hAnsi="Tahoma" w:cs="Tahoma"/>
          <w:sz w:val="20"/>
          <w:szCs w:val="20"/>
        </w:rPr>
      </w:pPr>
    </w:p>
    <w:p w14:paraId="0511947C" w14:textId="19EB8182" w:rsidR="007D3588" w:rsidRPr="000A5632" w:rsidRDefault="00A8032F" w:rsidP="000A5632">
      <w:pPr>
        <w:pStyle w:val="Titolo2"/>
      </w:pPr>
      <w:bookmarkStart w:id="19" w:name="_Toc161309105"/>
      <w:r>
        <w:t>5</w:t>
      </w:r>
      <w:r w:rsidR="007D3588" w:rsidRPr="00B15171">
        <w:t xml:space="preserve">.1 La disciplina </w:t>
      </w:r>
      <w:r w:rsidR="00146924" w:rsidRPr="00B15171">
        <w:t>speciale delle perdite e la sua applicazione per l’esercizio 2020</w:t>
      </w:r>
      <w:bookmarkEnd w:id="19"/>
    </w:p>
    <w:p w14:paraId="0E7A0C73" w14:textId="3773AAA3" w:rsidR="007D3588"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7D3588" w:rsidRPr="00B15171">
        <w:rPr>
          <w:rFonts w:ascii="Tahoma" w:hAnsi="Tahoma" w:cs="Tahoma"/>
          <w:sz w:val="20"/>
          <w:szCs w:val="20"/>
        </w:rPr>
        <w:t xml:space="preserve"> evidente che la situazione pandemica ha avuto un effetto pesantissimo sui conti economici delle società e quindi sin dai primi provvedimenti emergenziali il legislatore ha cercato di regolare la fattispecie delle perdite di esercizio che le chiusure e le difficoltà avrebbero con certezza generato.</w:t>
      </w:r>
    </w:p>
    <w:p w14:paraId="7B3C627A" w14:textId="02E4D38F"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Nell’art.6 del DL 23/2020, convertito con modific</w:t>
      </w:r>
      <w:r w:rsidR="00263FB2" w:rsidRPr="00B15171">
        <w:rPr>
          <w:rFonts w:ascii="Tahoma" w:hAnsi="Tahoma" w:cs="Tahoma"/>
          <w:sz w:val="20"/>
          <w:szCs w:val="20"/>
        </w:rPr>
        <w:t>h</w:t>
      </w:r>
      <w:r w:rsidRPr="00B15171">
        <w:rPr>
          <w:rFonts w:ascii="Tahoma" w:hAnsi="Tahoma" w:cs="Tahoma"/>
          <w:sz w:val="20"/>
          <w:szCs w:val="20"/>
        </w:rPr>
        <w:t>e dalla L. 40/2020, veniva prevista una cristallizzazione delle procedur</w:t>
      </w:r>
      <w:r w:rsidR="00E502ED" w:rsidRPr="00B15171">
        <w:rPr>
          <w:rFonts w:ascii="Tahoma" w:hAnsi="Tahoma" w:cs="Tahoma"/>
          <w:sz w:val="20"/>
          <w:szCs w:val="20"/>
        </w:rPr>
        <w:t>e</w:t>
      </w:r>
      <w:r w:rsidRPr="00B15171">
        <w:rPr>
          <w:rFonts w:ascii="Tahoma" w:hAnsi="Tahoma" w:cs="Tahoma"/>
          <w:sz w:val="20"/>
          <w:szCs w:val="20"/>
        </w:rPr>
        <w:t xml:space="preserve"> di copertura delle perdite rilevanti.</w:t>
      </w:r>
    </w:p>
    <w:p w14:paraId="0F7DDA05" w14:textId="1A31EFDC" w:rsidR="007D3588" w:rsidRPr="000A5632" w:rsidRDefault="007D3588" w:rsidP="00B15171">
      <w:pPr>
        <w:spacing w:after="200" w:line="360" w:lineRule="auto"/>
        <w:jc w:val="both"/>
        <w:rPr>
          <w:rFonts w:ascii="Tahoma" w:hAnsi="Tahoma" w:cs="Tahoma"/>
          <w:i/>
          <w:color w:val="444444"/>
          <w:sz w:val="20"/>
          <w:szCs w:val="20"/>
        </w:rPr>
      </w:pPr>
      <w:r w:rsidRPr="00B15171">
        <w:rPr>
          <w:rFonts w:ascii="Tahoma" w:hAnsi="Tahoma" w:cs="Tahoma"/>
          <w:sz w:val="20"/>
          <w:szCs w:val="20"/>
        </w:rPr>
        <w:t xml:space="preserve">Dall’8 aprile 2020 al 31 dicembre 2020 </w:t>
      </w:r>
      <w:r w:rsidRPr="00B15171">
        <w:rPr>
          <w:rFonts w:ascii="Tahoma" w:hAnsi="Tahoma" w:cs="Tahoma"/>
          <w:i/>
          <w:sz w:val="20"/>
          <w:szCs w:val="20"/>
        </w:rPr>
        <w:t xml:space="preserve">“per le fattispecie verificatesi nel corso degli  esercizi  chiusi  entro  la  predetta  data  non  si applicano gli articoli 2446, commi secondo e terzo,  2447,  2482-bis, commi quarto, quinto e sesto, e 2482-ter del codice  civile.  Per  lo stesso periodo non opera la causa di scioglimento della </w:t>
      </w:r>
      <w:r w:rsidR="00911F9D" w:rsidRPr="00B15171">
        <w:rPr>
          <w:rFonts w:ascii="Tahoma" w:hAnsi="Tahoma" w:cs="Tahoma"/>
          <w:i/>
          <w:sz w:val="20"/>
          <w:szCs w:val="20"/>
        </w:rPr>
        <w:t>società</w:t>
      </w:r>
      <w:r w:rsidRPr="00B15171">
        <w:rPr>
          <w:rFonts w:ascii="Tahoma" w:hAnsi="Tahoma" w:cs="Tahoma"/>
          <w:i/>
          <w:sz w:val="20"/>
          <w:szCs w:val="20"/>
        </w:rPr>
        <w:t xml:space="preserve">  per riduzione o perdita del capitale sociale di cui agli  articoli  2484,primo comma, numero 4), e 2545-duodecies del codice civile</w:t>
      </w:r>
      <w:r w:rsidRPr="00B15171">
        <w:rPr>
          <w:rFonts w:ascii="Tahoma" w:hAnsi="Tahoma" w:cs="Tahoma"/>
          <w:i/>
          <w:color w:val="444444"/>
          <w:sz w:val="20"/>
          <w:szCs w:val="20"/>
        </w:rPr>
        <w:t>”.</w:t>
      </w:r>
    </w:p>
    <w:p w14:paraId="6A219ABA" w14:textId="2535F229"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Si tratta</w:t>
      </w:r>
      <w:r w:rsidR="00E502ED" w:rsidRPr="00B15171">
        <w:rPr>
          <w:rFonts w:ascii="Tahoma" w:hAnsi="Tahoma" w:cs="Tahoma"/>
          <w:sz w:val="20"/>
          <w:szCs w:val="20"/>
        </w:rPr>
        <w:t>va</w:t>
      </w:r>
      <w:r w:rsidRPr="00B15171">
        <w:rPr>
          <w:rFonts w:ascii="Tahoma" w:hAnsi="Tahoma" w:cs="Tahoma"/>
          <w:sz w:val="20"/>
          <w:szCs w:val="20"/>
        </w:rPr>
        <w:t xml:space="preserve"> quindi di una vera e propria sospensione della disciplina regolante le fattispecie di perdita superiore ad un terzo del capitale (art. 2446 c.c. per le spa e art. 2482-</w:t>
      </w:r>
      <w:r w:rsidRPr="00B15171">
        <w:rPr>
          <w:rFonts w:ascii="Tahoma" w:hAnsi="Tahoma" w:cs="Tahoma"/>
          <w:i/>
          <w:sz w:val="20"/>
          <w:szCs w:val="20"/>
        </w:rPr>
        <w:t>bis</w:t>
      </w:r>
      <w:r w:rsidRPr="00B15171">
        <w:rPr>
          <w:rFonts w:ascii="Tahoma" w:hAnsi="Tahoma" w:cs="Tahoma"/>
          <w:sz w:val="20"/>
          <w:szCs w:val="20"/>
        </w:rPr>
        <w:t xml:space="preserve"> c.c. per le srl) e di perdita superiore ad un terzo del capitale che riduce quest’ultimo al di sotto del minimo legale (art. 2447 c.c. per le spa e art. 2482-</w:t>
      </w:r>
      <w:r w:rsidRPr="00B15171">
        <w:rPr>
          <w:rFonts w:ascii="Tahoma" w:hAnsi="Tahoma" w:cs="Tahoma"/>
          <w:i/>
          <w:sz w:val="20"/>
          <w:szCs w:val="20"/>
        </w:rPr>
        <w:t>ter</w:t>
      </w:r>
      <w:r w:rsidR="00427230" w:rsidRPr="00B15171">
        <w:rPr>
          <w:rFonts w:ascii="Tahoma" w:hAnsi="Tahoma" w:cs="Tahoma"/>
          <w:sz w:val="20"/>
          <w:szCs w:val="20"/>
        </w:rPr>
        <w:t xml:space="preserve"> c.c. per le srl), che peraltro pareva, in base alla lettera della norma, riguardare tutte le perdite maturate fino alla data di entrata in vigore del DL 23.</w:t>
      </w:r>
    </w:p>
    <w:p w14:paraId="2639B228" w14:textId="77777777"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La prima considerazione è che per la fattispecie della perdita superiore ad un terzo del capitale</w:t>
      </w:r>
      <w:r w:rsidR="00E12ABA" w:rsidRPr="00B15171">
        <w:rPr>
          <w:rStyle w:val="Rimandonotaapidipagina"/>
          <w:rFonts w:ascii="Tahoma" w:hAnsi="Tahoma" w:cs="Tahoma"/>
          <w:sz w:val="20"/>
          <w:szCs w:val="20"/>
        </w:rPr>
        <w:footnoteReference w:id="4"/>
      </w:r>
      <w:r w:rsidRPr="00B15171">
        <w:rPr>
          <w:rFonts w:ascii="Tahoma" w:hAnsi="Tahoma" w:cs="Tahoma"/>
          <w:sz w:val="20"/>
          <w:szCs w:val="20"/>
        </w:rPr>
        <w:t xml:space="preserve"> senza che questo sia ridotto al di sotto del minimo sociale non </w:t>
      </w:r>
      <w:r w:rsidR="00427230" w:rsidRPr="00B15171">
        <w:rPr>
          <w:rFonts w:ascii="Tahoma" w:hAnsi="Tahoma" w:cs="Tahoma"/>
          <w:sz w:val="20"/>
          <w:szCs w:val="20"/>
        </w:rPr>
        <w:t>era</w:t>
      </w:r>
      <w:r w:rsidRPr="00B15171">
        <w:rPr>
          <w:rFonts w:ascii="Tahoma" w:hAnsi="Tahoma" w:cs="Tahoma"/>
          <w:sz w:val="20"/>
          <w:szCs w:val="20"/>
        </w:rPr>
        <w:t xml:space="preserve"> sospesa la parte dell’articolo (ad esempio il comma 1 </w:t>
      </w:r>
      <w:r w:rsidRPr="00B15171">
        <w:rPr>
          <w:rFonts w:ascii="Tahoma" w:hAnsi="Tahoma" w:cs="Tahoma"/>
          <w:sz w:val="20"/>
          <w:szCs w:val="20"/>
        </w:rPr>
        <w:lastRenderedPageBreak/>
        <w:t>dell’art. 2446 c.c.) che riguarda la procedura con la quale la situazione di perdita rilevante va comunicata all’assemblea.</w:t>
      </w:r>
    </w:p>
    <w:p w14:paraId="0E74612E" w14:textId="77777777" w:rsidR="007D3588" w:rsidRPr="00B15171" w:rsidRDefault="007D3588" w:rsidP="00B15171">
      <w:pPr>
        <w:spacing w:after="200" w:line="360" w:lineRule="auto"/>
        <w:jc w:val="both"/>
        <w:rPr>
          <w:rFonts w:ascii="Tahoma" w:hAnsi="Tahoma" w:cs="Tahoma"/>
          <w:i/>
          <w:sz w:val="20"/>
          <w:szCs w:val="20"/>
        </w:rPr>
      </w:pPr>
      <w:r w:rsidRPr="00B15171">
        <w:rPr>
          <w:rFonts w:ascii="Tahoma" w:hAnsi="Tahoma" w:cs="Tahoma"/>
          <w:sz w:val="20"/>
          <w:szCs w:val="20"/>
        </w:rPr>
        <w:t>Il comma 1 dell’art. 2446 c.c. stabilisce che in caso di riduzione del capitale per oltre un terzo in conseguen</w:t>
      </w:r>
      <w:r w:rsidR="008F1C1F" w:rsidRPr="00B15171">
        <w:rPr>
          <w:rFonts w:ascii="Tahoma" w:hAnsi="Tahoma" w:cs="Tahoma"/>
          <w:sz w:val="20"/>
          <w:szCs w:val="20"/>
        </w:rPr>
        <w:t>za di perdita, gli amministrator</w:t>
      </w:r>
      <w:r w:rsidRPr="00B15171">
        <w:rPr>
          <w:rFonts w:ascii="Tahoma" w:hAnsi="Tahoma" w:cs="Tahoma"/>
          <w:sz w:val="20"/>
          <w:szCs w:val="20"/>
        </w:rPr>
        <w:t>i, ed in caso di loro inerzia, i sindaci “</w:t>
      </w:r>
      <w:r w:rsidRPr="00B15171">
        <w:rPr>
          <w:rFonts w:ascii="Tahoma" w:hAnsi="Tahoma" w:cs="Tahoma"/>
          <w:i/>
          <w:sz w:val="20"/>
          <w:szCs w:val="20"/>
        </w:rPr>
        <w:t>devono senza indugio convocare l’assemblea per gli opportuni provvedimenti”.</w:t>
      </w:r>
    </w:p>
    <w:p w14:paraId="21C0E17A" w14:textId="2EE59F2C" w:rsidR="007D3588" w:rsidRPr="00B15171" w:rsidRDefault="007D3588" w:rsidP="00B15171">
      <w:pPr>
        <w:spacing w:after="200" w:line="360" w:lineRule="auto"/>
        <w:jc w:val="both"/>
        <w:rPr>
          <w:rFonts w:ascii="Tahoma" w:hAnsi="Tahoma" w:cs="Tahoma"/>
          <w:i/>
          <w:sz w:val="20"/>
          <w:szCs w:val="20"/>
        </w:rPr>
      </w:pPr>
      <w:r w:rsidRPr="00B15171">
        <w:rPr>
          <w:rFonts w:ascii="Tahoma" w:hAnsi="Tahoma" w:cs="Tahoma"/>
          <w:sz w:val="20"/>
          <w:szCs w:val="20"/>
        </w:rPr>
        <w:t>“</w:t>
      </w:r>
      <w:r w:rsidRPr="00B15171">
        <w:rPr>
          <w:rFonts w:ascii="Tahoma" w:hAnsi="Tahoma" w:cs="Tahoma"/>
          <w:i/>
          <w:sz w:val="20"/>
          <w:szCs w:val="20"/>
        </w:rPr>
        <w:t>All'</w:t>
      </w:r>
      <w:hyperlink r:id="rId35" w:history="1">
        <w:r w:rsidRPr="00B15171">
          <w:rPr>
            <w:rStyle w:val="Collegamentoipertestuale"/>
            <w:rFonts w:ascii="Tahoma" w:hAnsi="Tahoma" w:cs="Tahoma"/>
            <w:i/>
            <w:color w:val="auto"/>
            <w:sz w:val="20"/>
            <w:szCs w:val="20"/>
            <w:u w:val="none"/>
          </w:rPr>
          <w:t>assemblea</w:t>
        </w:r>
      </w:hyperlink>
      <w:r w:rsidRPr="00B15171">
        <w:rPr>
          <w:rFonts w:ascii="Tahoma" w:hAnsi="Tahoma" w:cs="Tahoma"/>
          <w:i/>
          <w:sz w:val="20"/>
          <w:szCs w:val="20"/>
        </w:rPr>
        <w:t> deve essere sottoposta una </w:t>
      </w:r>
      <w:hyperlink r:id="rId36" w:history="1">
        <w:r w:rsidRPr="00B15171">
          <w:rPr>
            <w:rStyle w:val="Collegamentoipertestuale"/>
            <w:rFonts w:ascii="Tahoma" w:hAnsi="Tahoma" w:cs="Tahoma"/>
            <w:i/>
            <w:color w:val="auto"/>
            <w:sz w:val="20"/>
            <w:szCs w:val="20"/>
            <w:u w:val="none"/>
          </w:rPr>
          <w:t>relazione</w:t>
        </w:r>
      </w:hyperlink>
      <w:r w:rsidRPr="00B15171">
        <w:rPr>
          <w:rFonts w:ascii="Tahoma" w:hAnsi="Tahoma" w:cs="Tahoma"/>
          <w:i/>
          <w:sz w:val="20"/>
          <w:szCs w:val="20"/>
        </w:rPr>
        <w:t> sulla situazione patrimoniale della società, con le osservazioni del </w:t>
      </w:r>
      <w:hyperlink r:id="rId37" w:history="1">
        <w:r w:rsidRPr="00B15171">
          <w:rPr>
            <w:rStyle w:val="Collegamentoipertestuale"/>
            <w:rFonts w:ascii="Tahoma" w:hAnsi="Tahoma" w:cs="Tahoma"/>
            <w:i/>
            <w:color w:val="auto"/>
            <w:sz w:val="20"/>
            <w:szCs w:val="20"/>
            <w:u w:val="none"/>
          </w:rPr>
          <w:t>collegio</w:t>
        </w:r>
      </w:hyperlink>
      <w:r w:rsidRPr="00B15171">
        <w:rPr>
          <w:rFonts w:ascii="Tahoma" w:hAnsi="Tahoma" w:cs="Tahoma"/>
          <w:i/>
          <w:sz w:val="20"/>
          <w:szCs w:val="20"/>
        </w:rPr>
        <w:t> </w:t>
      </w:r>
      <w:hyperlink r:id="rId38" w:history="1">
        <w:r w:rsidRPr="00B15171">
          <w:rPr>
            <w:rStyle w:val="Collegamentoipertestuale"/>
            <w:rFonts w:ascii="Tahoma" w:hAnsi="Tahoma" w:cs="Tahoma"/>
            <w:i/>
            <w:color w:val="auto"/>
            <w:sz w:val="20"/>
            <w:szCs w:val="20"/>
            <w:u w:val="none"/>
          </w:rPr>
          <w:t>sindacale</w:t>
        </w:r>
      </w:hyperlink>
      <w:r w:rsidRPr="00B15171">
        <w:rPr>
          <w:rFonts w:ascii="Tahoma" w:hAnsi="Tahoma" w:cs="Tahoma"/>
          <w:i/>
          <w:sz w:val="20"/>
          <w:szCs w:val="20"/>
        </w:rPr>
        <w:t> </w:t>
      </w:r>
      <w:r w:rsidR="00475102">
        <w:rPr>
          <w:rFonts w:ascii="Tahoma" w:hAnsi="Tahoma" w:cs="Tahoma"/>
          <w:i/>
          <w:sz w:val="20"/>
          <w:szCs w:val="20"/>
        </w:rPr>
        <w:t xml:space="preserve">… </w:t>
      </w:r>
      <w:r w:rsidRPr="00B15171">
        <w:rPr>
          <w:rFonts w:ascii="Tahoma" w:hAnsi="Tahoma" w:cs="Tahoma"/>
          <w:i/>
          <w:sz w:val="20"/>
          <w:szCs w:val="20"/>
        </w:rPr>
        <w:t>. La </w:t>
      </w:r>
      <w:hyperlink r:id="rId39" w:history="1">
        <w:r w:rsidRPr="00B15171">
          <w:rPr>
            <w:rStyle w:val="Collegamentoipertestuale"/>
            <w:rFonts w:ascii="Tahoma" w:hAnsi="Tahoma" w:cs="Tahoma"/>
            <w:i/>
            <w:color w:val="auto"/>
            <w:sz w:val="20"/>
            <w:szCs w:val="20"/>
            <w:u w:val="none"/>
          </w:rPr>
          <w:t>relazione</w:t>
        </w:r>
      </w:hyperlink>
      <w:r w:rsidRPr="00B15171">
        <w:rPr>
          <w:rFonts w:ascii="Tahoma" w:hAnsi="Tahoma" w:cs="Tahoma"/>
          <w:i/>
          <w:sz w:val="20"/>
          <w:szCs w:val="20"/>
        </w:rPr>
        <w:t xml:space="preserve"> e le osservazioni devono restare depositate in copia nella sede della società durante gli otto giorni che precedono l'assemblea, perché i soci possano prenderne visione. </w:t>
      </w:r>
    </w:p>
    <w:p w14:paraId="7F96CEE5" w14:textId="77777777" w:rsidR="007D3588" w:rsidRPr="00B15171" w:rsidRDefault="007D3588" w:rsidP="00B15171">
      <w:pPr>
        <w:spacing w:after="200" w:line="360" w:lineRule="auto"/>
        <w:jc w:val="both"/>
        <w:rPr>
          <w:rFonts w:ascii="Tahoma" w:hAnsi="Tahoma" w:cs="Tahoma"/>
          <w:i/>
          <w:sz w:val="20"/>
          <w:szCs w:val="20"/>
        </w:rPr>
      </w:pPr>
      <w:r w:rsidRPr="00B15171">
        <w:rPr>
          <w:rFonts w:ascii="Tahoma" w:hAnsi="Tahoma" w:cs="Tahoma"/>
          <w:i/>
          <w:sz w:val="20"/>
          <w:szCs w:val="20"/>
        </w:rPr>
        <w:t>Nell'</w:t>
      </w:r>
      <w:hyperlink r:id="rId40" w:history="1">
        <w:r w:rsidRPr="00B15171">
          <w:rPr>
            <w:rStyle w:val="Collegamentoipertestuale"/>
            <w:rFonts w:ascii="Tahoma" w:hAnsi="Tahoma" w:cs="Tahoma"/>
            <w:i/>
            <w:color w:val="auto"/>
            <w:sz w:val="20"/>
            <w:szCs w:val="20"/>
            <w:u w:val="none"/>
          </w:rPr>
          <w:t>assemblea</w:t>
        </w:r>
      </w:hyperlink>
      <w:r w:rsidRPr="00B15171">
        <w:rPr>
          <w:rFonts w:ascii="Tahoma" w:hAnsi="Tahoma" w:cs="Tahoma"/>
          <w:i/>
          <w:sz w:val="20"/>
          <w:szCs w:val="20"/>
        </w:rPr>
        <w:t> gli </w:t>
      </w:r>
      <w:hyperlink r:id="rId41" w:history="1">
        <w:r w:rsidRPr="00B15171">
          <w:rPr>
            <w:rStyle w:val="Collegamentoipertestuale"/>
            <w:rFonts w:ascii="Tahoma" w:hAnsi="Tahoma" w:cs="Tahoma"/>
            <w:i/>
            <w:color w:val="auto"/>
            <w:sz w:val="20"/>
            <w:szCs w:val="20"/>
            <w:u w:val="none"/>
          </w:rPr>
          <w:t>amministratori</w:t>
        </w:r>
      </w:hyperlink>
      <w:r w:rsidRPr="00B15171">
        <w:rPr>
          <w:rFonts w:ascii="Tahoma" w:hAnsi="Tahoma" w:cs="Tahoma"/>
          <w:i/>
          <w:sz w:val="20"/>
          <w:szCs w:val="20"/>
        </w:rPr>
        <w:t> devono dare conto dei fatti di rilievo avvenuti dopo la redazione della relazione</w:t>
      </w:r>
      <w:r w:rsidRPr="00B15171">
        <w:rPr>
          <w:rFonts w:ascii="Tahoma" w:hAnsi="Tahoma" w:cs="Tahoma"/>
          <w:i/>
          <w:color w:val="000000"/>
          <w:sz w:val="20"/>
          <w:szCs w:val="20"/>
        </w:rPr>
        <w:t>.”</w:t>
      </w:r>
    </w:p>
    <w:p w14:paraId="578C35A1" w14:textId="77777777" w:rsidR="007D3588"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La disciplina dell’art. 6 del DL 23/2020 prevede</w:t>
      </w:r>
      <w:r w:rsidR="00502D3E" w:rsidRPr="00B15171">
        <w:rPr>
          <w:rFonts w:ascii="Tahoma" w:hAnsi="Tahoma" w:cs="Tahoma"/>
          <w:sz w:val="20"/>
          <w:szCs w:val="20"/>
        </w:rPr>
        <w:t>va</w:t>
      </w:r>
      <w:r w:rsidRPr="00B15171">
        <w:rPr>
          <w:rFonts w:ascii="Tahoma" w:hAnsi="Tahoma" w:cs="Tahoma"/>
          <w:sz w:val="20"/>
          <w:szCs w:val="20"/>
        </w:rPr>
        <w:t xml:space="preserve"> quindi che tutta la procedura di informativa andasse comunque rispettata.</w:t>
      </w:r>
    </w:p>
    <w:p w14:paraId="41958346" w14:textId="08CB890B" w:rsidR="00502D3E" w:rsidRPr="00B15171" w:rsidRDefault="007D3588" w:rsidP="00B15171">
      <w:pPr>
        <w:spacing w:after="200" w:line="360" w:lineRule="auto"/>
        <w:jc w:val="both"/>
        <w:rPr>
          <w:rFonts w:ascii="Tahoma" w:hAnsi="Tahoma" w:cs="Tahoma"/>
          <w:sz w:val="20"/>
          <w:szCs w:val="20"/>
        </w:rPr>
      </w:pPr>
      <w:r w:rsidRPr="00B15171">
        <w:rPr>
          <w:rFonts w:ascii="Tahoma" w:hAnsi="Tahoma" w:cs="Tahoma"/>
          <w:sz w:val="20"/>
          <w:szCs w:val="20"/>
        </w:rPr>
        <w:t>Quindi</w:t>
      </w:r>
      <w:r w:rsidR="005D68C9" w:rsidRPr="00B15171">
        <w:rPr>
          <w:rFonts w:ascii="Tahoma" w:hAnsi="Tahoma" w:cs="Tahoma"/>
          <w:sz w:val="20"/>
          <w:szCs w:val="20"/>
        </w:rPr>
        <w:t xml:space="preserve"> in base all’art. 6</w:t>
      </w:r>
      <w:r w:rsidRPr="00B15171">
        <w:rPr>
          <w:rFonts w:ascii="Tahoma" w:hAnsi="Tahoma" w:cs="Tahoma"/>
          <w:sz w:val="20"/>
          <w:szCs w:val="20"/>
        </w:rPr>
        <w:t>:</w:t>
      </w:r>
    </w:p>
    <w:p w14:paraId="1FD9D8FE"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 xml:space="preserve">Perdita superiore al terzo di capitale </w:t>
      </w:r>
      <w:r w:rsidRPr="00B15171">
        <w:sym w:font="Wingdings" w:char="F0E0"/>
      </w:r>
      <w:r w:rsidRPr="000A5632">
        <w:rPr>
          <w:rFonts w:ascii="Tahoma" w:hAnsi="Tahoma" w:cs="Tahoma"/>
          <w:sz w:val="20"/>
          <w:szCs w:val="20"/>
        </w:rPr>
        <w:t xml:space="preserve"> convocazione dell’assemblea senza indugio</w:t>
      </w:r>
    </w:p>
    <w:p w14:paraId="03664379"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 xml:space="preserve">In caso di inerzia degli amministratori </w:t>
      </w:r>
      <w:r w:rsidRPr="00B15171">
        <w:sym w:font="Wingdings" w:char="F0E0"/>
      </w:r>
      <w:r w:rsidRPr="000A5632">
        <w:rPr>
          <w:rFonts w:ascii="Tahoma" w:hAnsi="Tahoma" w:cs="Tahoma"/>
          <w:sz w:val="20"/>
          <w:szCs w:val="20"/>
        </w:rPr>
        <w:t xml:space="preserve"> incombenza sui sindaci</w:t>
      </w:r>
    </w:p>
    <w:p w14:paraId="0537191B"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Gli amministratori devono redigere una relazione sulla situazione patrimoniale della società</w:t>
      </w:r>
    </w:p>
    <w:p w14:paraId="2DCAD15D"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I sindaci redigono osservazioni sulla relazione degli amministratori</w:t>
      </w:r>
    </w:p>
    <w:p w14:paraId="58CEAB3C" w14:textId="77777777" w:rsidR="007D3588" w:rsidRPr="000A5632" w:rsidRDefault="007D3588">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t xml:space="preserve">La relazione e le osservazioni devono restare depositate </w:t>
      </w:r>
      <w:r w:rsidR="00FD4C1A" w:rsidRPr="000A5632">
        <w:rPr>
          <w:rFonts w:ascii="Tahoma" w:hAnsi="Tahoma" w:cs="Tahoma"/>
          <w:sz w:val="20"/>
          <w:szCs w:val="20"/>
        </w:rPr>
        <w:t>presso la società negli otto giorni che precedono l’assemblea</w:t>
      </w:r>
    </w:p>
    <w:p w14:paraId="0B8BFD75" w14:textId="77777777" w:rsidR="00FD4C1A" w:rsidRPr="000A5632" w:rsidRDefault="00FD4C1A">
      <w:pPr>
        <w:pStyle w:val="Paragrafoelenco"/>
        <w:numPr>
          <w:ilvl w:val="0"/>
          <w:numId w:val="18"/>
        </w:numPr>
        <w:spacing w:after="200" w:line="360" w:lineRule="auto"/>
        <w:ind w:left="709"/>
        <w:jc w:val="both"/>
        <w:rPr>
          <w:rFonts w:ascii="Tahoma" w:hAnsi="Tahoma" w:cs="Tahoma"/>
          <w:sz w:val="20"/>
          <w:szCs w:val="20"/>
        </w:rPr>
      </w:pPr>
      <w:r w:rsidRPr="000A5632">
        <w:rPr>
          <w:rFonts w:ascii="Tahoma" w:hAnsi="Tahoma" w:cs="Tahoma"/>
          <w:sz w:val="20"/>
          <w:szCs w:val="20"/>
        </w:rPr>
        <w:lastRenderedPageBreak/>
        <w:t>In assemblea gli amministratori devono riferire sui fatti di rilievo avvenuti dopo la redazione della relazione</w:t>
      </w:r>
    </w:p>
    <w:p w14:paraId="1487311F" w14:textId="19973211" w:rsidR="00874AA9" w:rsidRPr="00B15171" w:rsidRDefault="00874AA9" w:rsidP="00B15171">
      <w:pPr>
        <w:spacing w:after="200" w:line="360" w:lineRule="auto"/>
        <w:jc w:val="both"/>
        <w:rPr>
          <w:rFonts w:ascii="Tahoma" w:hAnsi="Tahoma" w:cs="Tahoma"/>
          <w:sz w:val="20"/>
          <w:szCs w:val="20"/>
        </w:rPr>
      </w:pPr>
      <w:r w:rsidRPr="00B15171">
        <w:rPr>
          <w:rFonts w:ascii="Tahoma" w:hAnsi="Tahoma" w:cs="Tahoma"/>
          <w:sz w:val="20"/>
          <w:szCs w:val="20"/>
        </w:rPr>
        <w:t>Negli ultimi mesi del 2020 da più parti si era segnalata la rilevante problematica concernente l’incombenza del termine del periodo di sospensione, che avrebbe comportato la riemersione delle fattispecie di perdita rilevante, con conseguenti difficoltà per le società.</w:t>
      </w:r>
    </w:p>
    <w:p w14:paraId="21742DE8" w14:textId="683B5F2C" w:rsidR="00874AA9" w:rsidRPr="00B15171" w:rsidRDefault="00874AA9" w:rsidP="00B15171">
      <w:pPr>
        <w:spacing w:after="200" w:line="360" w:lineRule="auto"/>
        <w:jc w:val="both"/>
        <w:rPr>
          <w:rFonts w:ascii="Tahoma" w:hAnsi="Tahoma" w:cs="Tahoma"/>
          <w:sz w:val="20"/>
          <w:szCs w:val="20"/>
        </w:rPr>
      </w:pPr>
      <w:r w:rsidRPr="00B15171">
        <w:rPr>
          <w:rFonts w:ascii="Tahoma" w:hAnsi="Tahoma" w:cs="Tahoma"/>
          <w:sz w:val="20"/>
          <w:szCs w:val="20"/>
        </w:rPr>
        <w:t>E</w:t>
      </w:r>
      <w:r w:rsidR="00964495" w:rsidRPr="00B15171">
        <w:rPr>
          <w:rFonts w:ascii="Tahoma" w:hAnsi="Tahoma" w:cs="Tahoma"/>
          <w:sz w:val="20"/>
          <w:szCs w:val="20"/>
        </w:rPr>
        <w:t>ra</w:t>
      </w:r>
      <w:r w:rsidRPr="00B15171">
        <w:rPr>
          <w:rFonts w:ascii="Tahoma" w:hAnsi="Tahoma" w:cs="Tahoma"/>
          <w:sz w:val="20"/>
          <w:szCs w:val="20"/>
        </w:rPr>
        <w:t xml:space="preserve"> quindi intervenuto il comma 266 dell’art. 1 della L. 31 dicembre 2020, n. 178, che procedeva a riscrivere l’art. 6 del DL 23/2020.</w:t>
      </w:r>
    </w:p>
    <w:p w14:paraId="0111E73D" w14:textId="77777777" w:rsidR="00874AA9" w:rsidRPr="00B15171" w:rsidRDefault="00874AA9" w:rsidP="00B15171">
      <w:pPr>
        <w:spacing w:after="200" w:line="360" w:lineRule="auto"/>
        <w:jc w:val="both"/>
        <w:rPr>
          <w:rFonts w:ascii="Tahoma" w:hAnsi="Tahoma" w:cs="Tahoma"/>
          <w:sz w:val="20"/>
          <w:szCs w:val="20"/>
        </w:rPr>
      </w:pPr>
      <w:r w:rsidRPr="00B15171">
        <w:rPr>
          <w:rFonts w:ascii="Tahoma" w:hAnsi="Tahoma" w:cs="Tahoma"/>
          <w:sz w:val="20"/>
          <w:szCs w:val="20"/>
        </w:rPr>
        <w:t>Il nuovo testo è il seguente:</w:t>
      </w:r>
    </w:p>
    <w:p w14:paraId="26E0CD5A" w14:textId="77777777"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sz w:val="20"/>
          <w:szCs w:val="20"/>
        </w:rPr>
        <w:t>“</w:t>
      </w:r>
      <w:r w:rsidRPr="00B15171">
        <w:rPr>
          <w:rFonts w:ascii="Tahoma" w:hAnsi="Tahoma" w:cs="Tahoma"/>
          <w:i/>
          <w:sz w:val="20"/>
          <w:szCs w:val="20"/>
        </w:rPr>
        <w:t xml:space="preserve">1. </w:t>
      </w:r>
      <w:r w:rsidR="00427230" w:rsidRPr="00B15171">
        <w:rPr>
          <w:rFonts w:ascii="Tahoma" w:hAnsi="Tahoma" w:cs="Tahoma"/>
          <w:i/>
          <w:sz w:val="20"/>
          <w:szCs w:val="20"/>
        </w:rPr>
        <w:t>Per le perdite emerse</w:t>
      </w:r>
      <w:r w:rsidRPr="00B15171">
        <w:rPr>
          <w:rFonts w:ascii="Tahoma" w:hAnsi="Tahoma" w:cs="Tahoma"/>
          <w:i/>
          <w:sz w:val="20"/>
          <w:szCs w:val="20"/>
        </w:rPr>
        <w:t xml:space="preserve"> nell'esercizio  in  corso  alla data del 31 dicembre 2020 non si applicano gli articoli 2446, secondo e terzo comma, 2447,  2482-bis,  quarto,  quinto  e  sesto  comma,  e 2482-ter del codice civile e non opera la causa di scioglimento della </w:t>
      </w:r>
      <w:r w:rsidR="00911F9D" w:rsidRPr="00B15171">
        <w:rPr>
          <w:rFonts w:ascii="Tahoma" w:hAnsi="Tahoma" w:cs="Tahoma"/>
          <w:i/>
          <w:sz w:val="20"/>
          <w:szCs w:val="20"/>
        </w:rPr>
        <w:t>società</w:t>
      </w:r>
      <w:r w:rsidRPr="00B15171">
        <w:rPr>
          <w:rFonts w:ascii="Tahoma" w:hAnsi="Tahoma" w:cs="Tahoma"/>
          <w:i/>
          <w:sz w:val="20"/>
          <w:szCs w:val="20"/>
        </w:rPr>
        <w:t xml:space="preserve"> per riduzione o perdita del capitale  sociale  di  cui  agli articoli 2484, primo comma, numero 4), e  2545-duodecies  del  codice civile. </w:t>
      </w:r>
    </w:p>
    <w:p w14:paraId="1932C666" w14:textId="23905363"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i/>
          <w:sz w:val="20"/>
          <w:szCs w:val="20"/>
        </w:rPr>
        <w:t xml:space="preserve">2. Il termine entro il quale la perdita deve risultare diminuita a meno di un terzo stabilito dagli  articoli  2446,  secondo  comma,  e 2482-bis, quarto comma, del codice civile, </w:t>
      </w:r>
      <w:r w:rsidR="00502D3E" w:rsidRPr="00B15171">
        <w:rPr>
          <w:rFonts w:ascii="Tahoma" w:hAnsi="Tahoma" w:cs="Tahoma"/>
          <w:i/>
          <w:sz w:val="20"/>
          <w:szCs w:val="20"/>
        </w:rPr>
        <w:t>è</w:t>
      </w:r>
      <w:r w:rsidRPr="00B15171">
        <w:rPr>
          <w:rFonts w:ascii="Tahoma" w:hAnsi="Tahoma" w:cs="Tahoma"/>
          <w:i/>
          <w:sz w:val="20"/>
          <w:szCs w:val="20"/>
        </w:rPr>
        <w:t xml:space="preserve"> posticipato  al  quinto esercizio successivo; l'assemblea che approva  il  bilancio  di  tale esercizio deve ridurre  il  capitale  in  proporzione  delle  perdite accertate. </w:t>
      </w:r>
    </w:p>
    <w:p w14:paraId="4BF1E7B8" w14:textId="77777777"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i/>
          <w:sz w:val="20"/>
          <w:szCs w:val="20"/>
        </w:rPr>
        <w:t>3. Nelle ipotesi previste dagli articoli 2447 o 2482-ter del codice civile l'assemblea convocata senza indugio</w:t>
      </w:r>
      <w:r w:rsidR="00E12ABA" w:rsidRPr="00B15171">
        <w:rPr>
          <w:rFonts w:ascii="Tahoma" w:hAnsi="Tahoma" w:cs="Tahoma"/>
          <w:i/>
          <w:sz w:val="20"/>
          <w:szCs w:val="20"/>
        </w:rPr>
        <w:t xml:space="preserve"> dagli </w:t>
      </w:r>
      <w:r w:rsidRPr="00B15171">
        <w:rPr>
          <w:rFonts w:ascii="Tahoma" w:hAnsi="Tahoma" w:cs="Tahoma"/>
          <w:i/>
          <w:sz w:val="20"/>
          <w:szCs w:val="20"/>
        </w:rPr>
        <w:t xml:space="preserve">amministratori, in alternativa all'immediata riduzione del capitale e  al  contemporaneo aumento del medesimo a una cifra non inferiore al minimo legale, </w:t>
      </w:r>
      <w:r w:rsidR="00502D3E" w:rsidRPr="00B15171">
        <w:rPr>
          <w:rFonts w:ascii="Tahoma" w:hAnsi="Tahoma" w:cs="Tahoma"/>
          <w:i/>
          <w:sz w:val="20"/>
          <w:szCs w:val="20"/>
        </w:rPr>
        <w:t xml:space="preserve">può </w:t>
      </w:r>
      <w:r w:rsidRPr="00B15171">
        <w:rPr>
          <w:rFonts w:ascii="Tahoma" w:hAnsi="Tahoma" w:cs="Tahoma"/>
          <w:i/>
          <w:sz w:val="20"/>
          <w:szCs w:val="20"/>
        </w:rPr>
        <w:t xml:space="preserve">deliberare di rinviare tali decisioni alla chiusura dell'esercizio di cui al comma 2. </w:t>
      </w:r>
    </w:p>
    <w:p w14:paraId="1A5369EE" w14:textId="77777777" w:rsidR="00874AA9" w:rsidRPr="00B15171" w:rsidRDefault="00874AA9" w:rsidP="00B15171">
      <w:pPr>
        <w:spacing w:after="200" w:line="360" w:lineRule="auto"/>
        <w:jc w:val="both"/>
        <w:rPr>
          <w:rFonts w:ascii="Tahoma" w:hAnsi="Tahoma" w:cs="Tahoma"/>
          <w:i/>
          <w:sz w:val="20"/>
          <w:szCs w:val="20"/>
        </w:rPr>
      </w:pPr>
      <w:r w:rsidRPr="00B15171">
        <w:rPr>
          <w:rFonts w:ascii="Tahoma" w:hAnsi="Tahoma" w:cs="Tahoma"/>
          <w:i/>
          <w:sz w:val="20"/>
          <w:szCs w:val="20"/>
        </w:rPr>
        <w:t xml:space="preserve">4. L'assemblea che approva il bilancio di tale esercizio deve procedere  alle  deliberazioni  di  cui  agli  articoli  2447  o 2482-ter del codice civile. Fino alla  data  di  tale  assemblea  non opera la causa di scioglimento della </w:t>
      </w:r>
      <w:r w:rsidR="00911F9D" w:rsidRPr="00B15171">
        <w:rPr>
          <w:rFonts w:ascii="Tahoma" w:hAnsi="Tahoma" w:cs="Tahoma"/>
          <w:i/>
          <w:sz w:val="20"/>
          <w:szCs w:val="20"/>
        </w:rPr>
        <w:t>società</w:t>
      </w:r>
      <w:r w:rsidRPr="00B15171">
        <w:rPr>
          <w:rFonts w:ascii="Tahoma" w:hAnsi="Tahoma" w:cs="Tahoma"/>
          <w:i/>
          <w:sz w:val="20"/>
          <w:szCs w:val="20"/>
        </w:rPr>
        <w:t xml:space="preserve"> per riduzione o perdita del capitale sociale di cui agli articoli 2484, primo  comma,  numero 4), e 2545-duodecies del codice civile. </w:t>
      </w:r>
    </w:p>
    <w:p w14:paraId="438CC097" w14:textId="1236B25B" w:rsidR="00874AA9" w:rsidRPr="000A5632" w:rsidRDefault="000973CD" w:rsidP="00B15171">
      <w:pPr>
        <w:spacing w:after="200" w:line="360" w:lineRule="auto"/>
        <w:jc w:val="both"/>
        <w:rPr>
          <w:rFonts w:ascii="Tahoma" w:hAnsi="Tahoma" w:cs="Tahoma"/>
          <w:color w:val="444444"/>
          <w:sz w:val="20"/>
          <w:szCs w:val="20"/>
        </w:rPr>
      </w:pPr>
      <w:r w:rsidRPr="00B15171">
        <w:rPr>
          <w:rFonts w:ascii="Tahoma" w:hAnsi="Tahoma" w:cs="Tahoma"/>
          <w:i/>
          <w:sz w:val="20"/>
          <w:szCs w:val="20"/>
        </w:rPr>
        <w:t>5.</w:t>
      </w:r>
      <w:r w:rsidR="00874AA9" w:rsidRPr="00B15171">
        <w:rPr>
          <w:rFonts w:ascii="Tahoma" w:hAnsi="Tahoma" w:cs="Tahoma"/>
          <w:i/>
          <w:sz w:val="20"/>
          <w:szCs w:val="20"/>
        </w:rPr>
        <w:t xml:space="preserve">Le perdite di cui ai commi da 1 a 3 devono essere  distintamente indicate nella  nota  integrativa  con  specificazione,  in  appositi prospetti,  </w:t>
      </w:r>
      <w:r w:rsidR="00502D3E" w:rsidRPr="00B15171">
        <w:rPr>
          <w:rFonts w:ascii="Tahoma" w:hAnsi="Tahoma" w:cs="Tahoma"/>
          <w:i/>
          <w:sz w:val="20"/>
          <w:szCs w:val="20"/>
        </w:rPr>
        <w:t>della   loro   origine   nonché</w:t>
      </w:r>
      <w:r w:rsidR="00874AA9" w:rsidRPr="00B15171">
        <w:rPr>
          <w:rFonts w:ascii="Tahoma" w:hAnsi="Tahoma" w:cs="Tahoma"/>
          <w:i/>
          <w:sz w:val="20"/>
          <w:szCs w:val="20"/>
        </w:rPr>
        <w:t xml:space="preserve">  delle   movimentazioni intervenute nell'esercizio</w:t>
      </w:r>
      <w:r w:rsidR="00874AA9" w:rsidRPr="00B15171">
        <w:rPr>
          <w:rFonts w:ascii="Tahoma" w:hAnsi="Tahoma" w:cs="Tahoma"/>
          <w:color w:val="444444"/>
          <w:sz w:val="20"/>
          <w:szCs w:val="20"/>
        </w:rPr>
        <w:t xml:space="preserve">”. </w:t>
      </w:r>
    </w:p>
    <w:p w14:paraId="09C52857" w14:textId="62448E42" w:rsidR="00874AA9" w:rsidRPr="00B15171" w:rsidRDefault="00502D3E" w:rsidP="00B15171">
      <w:pPr>
        <w:spacing w:after="200" w:line="360" w:lineRule="auto"/>
        <w:jc w:val="both"/>
        <w:rPr>
          <w:rFonts w:ascii="Tahoma" w:hAnsi="Tahoma" w:cs="Tahoma"/>
          <w:sz w:val="20"/>
          <w:szCs w:val="20"/>
        </w:rPr>
      </w:pPr>
      <w:r w:rsidRPr="00B15171">
        <w:rPr>
          <w:rFonts w:ascii="Tahoma" w:hAnsi="Tahoma" w:cs="Tahoma"/>
          <w:sz w:val="20"/>
          <w:szCs w:val="20"/>
        </w:rPr>
        <w:t>Nella nuova disciplina</w:t>
      </w:r>
      <w:r w:rsidR="00427230" w:rsidRPr="00B15171">
        <w:rPr>
          <w:rFonts w:ascii="Tahoma" w:hAnsi="Tahoma" w:cs="Tahoma"/>
          <w:sz w:val="20"/>
          <w:szCs w:val="20"/>
        </w:rPr>
        <w:t>, che</w:t>
      </w:r>
      <w:r w:rsidR="00E502ED" w:rsidRPr="00B15171">
        <w:rPr>
          <w:rFonts w:ascii="Tahoma" w:hAnsi="Tahoma" w:cs="Tahoma"/>
          <w:sz w:val="20"/>
          <w:szCs w:val="20"/>
        </w:rPr>
        <w:t>, a differenza della precedente,</w:t>
      </w:r>
      <w:r w:rsidR="00427230" w:rsidRPr="00B15171">
        <w:rPr>
          <w:rFonts w:ascii="Tahoma" w:hAnsi="Tahoma" w:cs="Tahoma"/>
          <w:sz w:val="20"/>
          <w:szCs w:val="20"/>
        </w:rPr>
        <w:t xml:space="preserve"> riguarda chiaramente </w:t>
      </w:r>
      <w:r w:rsidR="00427230" w:rsidRPr="00B15171">
        <w:rPr>
          <w:rFonts w:ascii="Tahoma" w:hAnsi="Tahoma" w:cs="Tahoma"/>
          <w:b/>
          <w:sz w:val="20"/>
          <w:szCs w:val="20"/>
        </w:rPr>
        <w:t>solo le perdite dell’esercizio 2020</w:t>
      </w:r>
      <w:r w:rsidR="00427230" w:rsidRPr="00B15171">
        <w:rPr>
          <w:rFonts w:ascii="Tahoma" w:hAnsi="Tahoma" w:cs="Tahoma"/>
          <w:sz w:val="20"/>
          <w:szCs w:val="20"/>
        </w:rPr>
        <w:t>,</w:t>
      </w:r>
      <w:r w:rsidRPr="00B15171">
        <w:rPr>
          <w:rFonts w:ascii="Tahoma" w:hAnsi="Tahoma" w:cs="Tahoma"/>
          <w:sz w:val="20"/>
          <w:szCs w:val="20"/>
        </w:rPr>
        <w:t xml:space="preserve"> </w:t>
      </w:r>
      <w:r w:rsidR="00146924" w:rsidRPr="00B15171">
        <w:rPr>
          <w:rFonts w:ascii="Tahoma" w:hAnsi="Tahoma" w:cs="Tahoma"/>
          <w:sz w:val="20"/>
          <w:szCs w:val="20"/>
        </w:rPr>
        <w:t xml:space="preserve">veniva </w:t>
      </w:r>
      <w:r w:rsidRPr="00B15171">
        <w:rPr>
          <w:rFonts w:ascii="Tahoma" w:hAnsi="Tahoma" w:cs="Tahoma"/>
          <w:sz w:val="20"/>
          <w:szCs w:val="20"/>
        </w:rPr>
        <w:t>quindi confermata</w:t>
      </w:r>
      <w:r w:rsidR="00655E46" w:rsidRPr="00B15171">
        <w:rPr>
          <w:rFonts w:ascii="Tahoma" w:hAnsi="Tahoma" w:cs="Tahoma"/>
          <w:sz w:val="20"/>
          <w:szCs w:val="20"/>
        </w:rPr>
        <w:t xml:space="preserve"> la disapplicazione del secondo e terzo comma dell’art. 2446 c.c. e dell’art. 2447 c.c. per le spa e del quarto, quinto e sesto comma dell’art. 2482- </w:t>
      </w:r>
      <w:r w:rsidR="00655E46" w:rsidRPr="00B15171">
        <w:rPr>
          <w:rFonts w:ascii="Tahoma" w:hAnsi="Tahoma" w:cs="Tahoma"/>
          <w:i/>
          <w:sz w:val="20"/>
          <w:szCs w:val="20"/>
        </w:rPr>
        <w:t>bis</w:t>
      </w:r>
      <w:r w:rsidR="00655E46" w:rsidRPr="00B15171">
        <w:rPr>
          <w:rFonts w:ascii="Tahoma" w:hAnsi="Tahoma" w:cs="Tahoma"/>
          <w:sz w:val="20"/>
          <w:szCs w:val="20"/>
        </w:rPr>
        <w:t xml:space="preserve"> c.c. e dell’art. 2482-</w:t>
      </w:r>
      <w:r w:rsidR="00655E46" w:rsidRPr="00B15171">
        <w:rPr>
          <w:rFonts w:ascii="Tahoma" w:hAnsi="Tahoma" w:cs="Tahoma"/>
          <w:i/>
          <w:sz w:val="20"/>
          <w:szCs w:val="20"/>
        </w:rPr>
        <w:t>ter</w:t>
      </w:r>
      <w:r w:rsidR="00655E46" w:rsidRPr="00B15171">
        <w:rPr>
          <w:rFonts w:ascii="Tahoma" w:hAnsi="Tahoma" w:cs="Tahoma"/>
          <w:sz w:val="20"/>
          <w:szCs w:val="20"/>
        </w:rPr>
        <w:t xml:space="preserve"> c.c..</w:t>
      </w:r>
    </w:p>
    <w:p w14:paraId="6BA95005" w14:textId="48BF02AF" w:rsidR="00655E46" w:rsidRPr="00B15171" w:rsidRDefault="005D68C9" w:rsidP="00B15171">
      <w:pPr>
        <w:spacing w:after="200" w:line="360" w:lineRule="auto"/>
        <w:jc w:val="both"/>
        <w:rPr>
          <w:rFonts w:ascii="Tahoma" w:hAnsi="Tahoma" w:cs="Tahoma"/>
          <w:sz w:val="20"/>
          <w:szCs w:val="20"/>
        </w:rPr>
      </w:pPr>
      <w:r w:rsidRPr="00B15171">
        <w:rPr>
          <w:rFonts w:ascii="Tahoma" w:hAnsi="Tahoma" w:cs="Tahoma"/>
          <w:sz w:val="20"/>
          <w:szCs w:val="20"/>
        </w:rPr>
        <w:t>Ciò vuol dire che anche dopo la riscrittura non è sospeso l’obbligo di informativa e di convocazione dell’assemblea.</w:t>
      </w:r>
    </w:p>
    <w:p w14:paraId="2D8FAF66" w14:textId="26D38C63" w:rsidR="005D68C9" w:rsidRPr="00B15171" w:rsidRDefault="005D68C9"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Per cui:</w:t>
      </w:r>
    </w:p>
    <w:p w14:paraId="71280CE6" w14:textId="3A1829E2"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 xml:space="preserve">Perdita 2020 superiore al terzo di capitale </w:t>
      </w:r>
      <w:r w:rsidR="00475102" w:rsidRPr="00475102">
        <w:rPr>
          <w:rFonts w:ascii="Tahoma" w:hAnsi="Tahoma" w:cs="Tahoma"/>
          <w:sz w:val="20"/>
          <w:szCs w:val="20"/>
        </w:rPr>
        <w:sym w:font="Wingdings" w:char="F0E0"/>
      </w:r>
      <w:r w:rsidRPr="000A5632">
        <w:rPr>
          <w:rFonts w:ascii="Tahoma" w:hAnsi="Tahoma" w:cs="Tahoma"/>
          <w:sz w:val="20"/>
          <w:szCs w:val="20"/>
        </w:rPr>
        <w:t>convocazione dell’assemblea senza indugio</w:t>
      </w:r>
    </w:p>
    <w:p w14:paraId="2883CC91" w14:textId="4C0BA735"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 xml:space="preserve">In caso di inerzia degli amministratori </w:t>
      </w:r>
      <w:r w:rsidR="00475102" w:rsidRPr="00475102">
        <w:rPr>
          <w:rFonts w:ascii="Tahoma" w:hAnsi="Tahoma" w:cs="Tahoma"/>
          <w:sz w:val="20"/>
          <w:szCs w:val="20"/>
        </w:rPr>
        <w:sym w:font="Wingdings" w:char="F0E0"/>
      </w:r>
      <w:r w:rsidRPr="000A5632">
        <w:rPr>
          <w:rFonts w:ascii="Tahoma" w:hAnsi="Tahoma" w:cs="Tahoma"/>
          <w:sz w:val="20"/>
          <w:szCs w:val="20"/>
        </w:rPr>
        <w:t xml:space="preserve"> incombenza sui sindaci</w:t>
      </w:r>
    </w:p>
    <w:p w14:paraId="634B97A3" w14:textId="1DCEED09"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Gli amministratori devono redigere una relazione sulla situazione patrimoniale della società</w:t>
      </w:r>
    </w:p>
    <w:p w14:paraId="6605348F" w14:textId="0865350F"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I sindaci redigono osservazioni sulla relazione degli amministratori</w:t>
      </w:r>
    </w:p>
    <w:p w14:paraId="70BE44D0" w14:textId="7FDD36E4" w:rsidR="000A5632"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La relazione e le osservazioni devono restare depositate presso la società negli otto giorni che precedono l’assemblea</w:t>
      </w:r>
    </w:p>
    <w:p w14:paraId="2F6BFCB6" w14:textId="79541E58" w:rsidR="00723345" w:rsidRPr="000A5632" w:rsidRDefault="000A5632">
      <w:pPr>
        <w:pStyle w:val="Paragrafoelenco"/>
        <w:numPr>
          <w:ilvl w:val="0"/>
          <w:numId w:val="19"/>
        </w:numPr>
        <w:spacing w:after="200" w:line="360" w:lineRule="auto"/>
        <w:jc w:val="both"/>
        <w:rPr>
          <w:rFonts w:ascii="Tahoma" w:hAnsi="Tahoma" w:cs="Tahoma"/>
          <w:sz w:val="20"/>
          <w:szCs w:val="20"/>
        </w:rPr>
      </w:pPr>
      <w:r w:rsidRPr="000A5632">
        <w:rPr>
          <w:rFonts w:ascii="Tahoma" w:hAnsi="Tahoma" w:cs="Tahoma"/>
          <w:sz w:val="20"/>
          <w:szCs w:val="20"/>
        </w:rPr>
        <w:t>In assemblea gli amministratori devono riferire sui fatti di rilievo avvenuti dopo la redazione della relazione</w:t>
      </w:r>
    </w:p>
    <w:p w14:paraId="5CCA9554" w14:textId="773528C9"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Occorre inoltre considerare che l’espressione “</w:t>
      </w:r>
      <w:r w:rsidRPr="00B15171">
        <w:rPr>
          <w:rFonts w:ascii="Tahoma" w:hAnsi="Tahoma" w:cs="Tahoma"/>
          <w:i/>
          <w:sz w:val="20"/>
          <w:szCs w:val="20"/>
        </w:rPr>
        <w:t>senza indugio”</w:t>
      </w:r>
      <w:r w:rsidRPr="00B15171">
        <w:rPr>
          <w:rFonts w:ascii="Tahoma" w:hAnsi="Tahoma" w:cs="Tahoma"/>
          <w:sz w:val="20"/>
          <w:szCs w:val="20"/>
        </w:rPr>
        <w:t xml:space="preserve"> non è di immediata interpretazione. La dottrina, per quel che riguarda la fattispecie della perdita superiore al terzo del capitale</w:t>
      </w:r>
      <w:r w:rsidR="000E2A42" w:rsidRPr="00B15171">
        <w:rPr>
          <w:rFonts w:ascii="Tahoma" w:hAnsi="Tahoma" w:cs="Tahoma"/>
          <w:sz w:val="20"/>
          <w:szCs w:val="20"/>
        </w:rPr>
        <w:t>,</w:t>
      </w:r>
      <w:r w:rsidRPr="00B15171">
        <w:rPr>
          <w:rFonts w:ascii="Tahoma" w:hAnsi="Tahoma" w:cs="Tahoma"/>
          <w:sz w:val="20"/>
          <w:szCs w:val="20"/>
        </w:rPr>
        <w:t xml:space="preserve"> ritiene che “</w:t>
      </w:r>
      <w:r w:rsidRPr="00B15171">
        <w:rPr>
          <w:rFonts w:ascii="Tahoma" w:hAnsi="Tahoma" w:cs="Tahoma"/>
          <w:i/>
          <w:sz w:val="20"/>
          <w:szCs w:val="20"/>
        </w:rPr>
        <w:t>senza indugio”</w:t>
      </w:r>
      <w:r w:rsidRPr="00B15171">
        <w:rPr>
          <w:rFonts w:ascii="Tahoma" w:hAnsi="Tahoma" w:cs="Tahoma"/>
          <w:sz w:val="20"/>
          <w:szCs w:val="20"/>
        </w:rPr>
        <w:t xml:space="preserve"> possa essere interpretato come il tempo strettamente necessario all’organo amministrativo per esaminare la situazione, redigere la relazione da sottoporre all’assemblea, inviare la relazione al collegio sindacale per le osservazioni e convocare l’assemblea con preavviso superiore agli otto giorni che la legge stabilisce come periodo nel quale la relazione corredata dalle osservazioni debba restare depositata presso la sede sociale.</w:t>
      </w:r>
    </w:p>
    <w:p w14:paraId="62CF8EBB" w14:textId="77777777"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L’unico riferimento temporale normativo previsto per individuare un termine è quello di una norma penale, l’art. 2631 c.c.</w:t>
      </w:r>
      <w:r w:rsidR="0062593B" w:rsidRPr="00B15171">
        <w:rPr>
          <w:rFonts w:ascii="Tahoma" w:hAnsi="Tahoma" w:cs="Tahoma"/>
          <w:sz w:val="20"/>
          <w:szCs w:val="20"/>
        </w:rPr>
        <w:t>,</w:t>
      </w:r>
      <w:r w:rsidRPr="00B15171">
        <w:rPr>
          <w:rFonts w:ascii="Tahoma" w:hAnsi="Tahoma" w:cs="Tahoma"/>
          <w:sz w:val="20"/>
          <w:szCs w:val="20"/>
        </w:rPr>
        <w:t xml:space="preserve"> che prevede e punisce il reato di omessa convocazione dell’assemblea.</w:t>
      </w:r>
    </w:p>
    <w:p w14:paraId="4FA38642" w14:textId="77777777"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 xml:space="preserve">L’art. 2631 c.c. stabilisce che qualora la legge o lo statuto non prevedano un termine, la convocazione si considera omessa quando siano trascorsi </w:t>
      </w:r>
      <w:r w:rsidRPr="00B15171">
        <w:rPr>
          <w:rFonts w:ascii="Tahoma" w:hAnsi="Tahoma" w:cs="Tahoma"/>
          <w:b/>
          <w:sz w:val="20"/>
          <w:szCs w:val="20"/>
        </w:rPr>
        <w:t>30 giorni</w:t>
      </w:r>
      <w:r w:rsidRPr="00B15171">
        <w:rPr>
          <w:rFonts w:ascii="Tahoma" w:hAnsi="Tahoma" w:cs="Tahoma"/>
          <w:sz w:val="20"/>
          <w:szCs w:val="20"/>
        </w:rPr>
        <w:t xml:space="preserve"> dalla data in cui amministratori e sindaci sono venuti a conoscenza del presupposto che comporta l’obbligo di convocazione.</w:t>
      </w:r>
    </w:p>
    <w:p w14:paraId="0C5C3349" w14:textId="2B1CFD85" w:rsidR="00723345" w:rsidRPr="00B15171" w:rsidRDefault="00723345" w:rsidP="00B15171">
      <w:pPr>
        <w:spacing w:after="200" w:line="360" w:lineRule="auto"/>
        <w:jc w:val="both"/>
        <w:rPr>
          <w:rFonts w:ascii="Tahoma" w:hAnsi="Tahoma" w:cs="Tahoma"/>
          <w:sz w:val="20"/>
          <w:szCs w:val="20"/>
        </w:rPr>
      </w:pPr>
      <w:r w:rsidRPr="00B15171">
        <w:rPr>
          <w:rFonts w:ascii="Tahoma" w:hAnsi="Tahoma" w:cs="Tahoma"/>
          <w:sz w:val="20"/>
          <w:szCs w:val="20"/>
        </w:rPr>
        <w:t>Pertanto, se nel corso dell’esercizio, dall’esame di un bilancio infrannuale, gli amministratori constatino che le perdite hanno superato un terzo del capitale, devono immediatamente attivarsi per riuscire a redigere la relazione e porla a disposizione dell’assemblea, corredata dalle osservazioni dei sindaci</w:t>
      </w:r>
      <w:r w:rsidR="0062593B" w:rsidRPr="00B15171">
        <w:rPr>
          <w:rFonts w:ascii="Tahoma" w:hAnsi="Tahoma" w:cs="Tahoma"/>
          <w:sz w:val="20"/>
          <w:szCs w:val="20"/>
        </w:rPr>
        <w:t>,</w:t>
      </w:r>
      <w:r w:rsidR="00307140" w:rsidRPr="00B15171">
        <w:rPr>
          <w:rFonts w:ascii="Tahoma" w:hAnsi="Tahoma" w:cs="Tahoma"/>
          <w:sz w:val="20"/>
          <w:szCs w:val="20"/>
        </w:rPr>
        <w:t xml:space="preserve"> </w:t>
      </w:r>
      <w:r w:rsidR="00307140" w:rsidRPr="00196E4D">
        <w:rPr>
          <w:rFonts w:ascii="Tahoma" w:hAnsi="Tahoma" w:cs="Tahoma"/>
          <w:sz w:val="20"/>
          <w:szCs w:val="20"/>
          <w:u w:val="single"/>
        </w:rPr>
        <w:t>entro 30</w:t>
      </w:r>
      <w:r w:rsidRPr="00196E4D">
        <w:rPr>
          <w:rFonts w:ascii="Tahoma" w:hAnsi="Tahoma" w:cs="Tahoma"/>
          <w:sz w:val="20"/>
          <w:szCs w:val="20"/>
          <w:u w:val="single"/>
        </w:rPr>
        <w:t xml:space="preserve"> giorni</w:t>
      </w:r>
      <w:r w:rsidRPr="00B15171">
        <w:rPr>
          <w:rFonts w:ascii="Tahoma" w:hAnsi="Tahoma" w:cs="Tahoma"/>
          <w:sz w:val="20"/>
          <w:szCs w:val="20"/>
        </w:rPr>
        <w:t xml:space="preserve"> dall’esame del documento contabile</w:t>
      </w:r>
      <w:r w:rsidR="0062593B" w:rsidRPr="00B15171">
        <w:rPr>
          <w:rFonts w:ascii="Tahoma" w:hAnsi="Tahoma" w:cs="Tahoma"/>
          <w:sz w:val="20"/>
          <w:szCs w:val="20"/>
        </w:rPr>
        <w:t xml:space="preserve"> che palesa la perdita rilevante.</w:t>
      </w:r>
    </w:p>
    <w:p w14:paraId="48282513" w14:textId="77777777" w:rsidR="008153CE" w:rsidRPr="00B15171" w:rsidRDefault="00E34B2C" w:rsidP="00B15171">
      <w:pPr>
        <w:spacing w:after="200" w:line="360" w:lineRule="auto"/>
        <w:jc w:val="both"/>
        <w:rPr>
          <w:rFonts w:ascii="Tahoma" w:hAnsi="Tahoma" w:cs="Tahoma"/>
          <w:sz w:val="20"/>
          <w:szCs w:val="20"/>
        </w:rPr>
      </w:pPr>
      <w:r w:rsidRPr="00B15171">
        <w:rPr>
          <w:rFonts w:ascii="Tahoma" w:hAnsi="Tahoma" w:cs="Tahoma"/>
          <w:sz w:val="20"/>
          <w:szCs w:val="20"/>
        </w:rPr>
        <w:t>Per quel che riguarda invece la fase di risoluzione della problematica della perdita rilevante, i</w:t>
      </w:r>
      <w:r w:rsidR="008153CE" w:rsidRPr="00B15171">
        <w:rPr>
          <w:rFonts w:ascii="Tahoma" w:hAnsi="Tahoma" w:cs="Tahoma"/>
          <w:sz w:val="20"/>
          <w:szCs w:val="20"/>
        </w:rPr>
        <w:t>n una situazione ordinaria, entro l’esercizio successivo a quello nel corso del quale si è verificato il superamento del terzo</w:t>
      </w:r>
      <w:r w:rsidR="0062593B" w:rsidRPr="00B15171">
        <w:rPr>
          <w:rFonts w:ascii="Tahoma" w:hAnsi="Tahoma" w:cs="Tahoma"/>
          <w:sz w:val="20"/>
          <w:szCs w:val="20"/>
        </w:rPr>
        <w:t>,</w:t>
      </w:r>
      <w:r w:rsidR="008153CE" w:rsidRPr="00B15171">
        <w:rPr>
          <w:rFonts w:ascii="Tahoma" w:hAnsi="Tahoma" w:cs="Tahoma"/>
          <w:sz w:val="20"/>
          <w:szCs w:val="20"/>
        </w:rPr>
        <w:t xml:space="preserve"> la situazione deve essere superata mediante il rientro della perdita a meno di un terzo; se ciò non accade l’assemblea che approva tale bilancio deve ridurre proporzionalmente il capitale e in caso di inattività della assemblea, gli amministratori e i sindaci devono chiedere al tribunale che venga disposta la riduzione del capitale.</w:t>
      </w:r>
    </w:p>
    <w:p w14:paraId="47233486" w14:textId="6D523E63" w:rsidR="008153CE" w:rsidRPr="00B15171" w:rsidRDefault="008153CE" w:rsidP="00B15171">
      <w:pPr>
        <w:spacing w:after="200" w:line="360" w:lineRule="auto"/>
        <w:jc w:val="both"/>
        <w:rPr>
          <w:rFonts w:ascii="Tahoma" w:hAnsi="Tahoma" w:cs="Tahoma"/>
          <w:sz w:val="20"/>
          <w:szCs w:val="20"/>
        </w:rPr>
      </w:pPr>
      <w:r w:rsidRPr="00B15171">
        <w:rPr>
          <w:rFonts w:ascii="Tahoma" w:hAnsi="Tahoma" w:cs="Tahoma"/>
          <w:sz w:val="20"/>
          <w:szCs w:val="20"/>
        </w:rPr>
        <w:t xml:space="preserve">Nel </w:t>
      </w:r>
      <w:r w:rsidR="0062593B" w:rsidRPr="00B15171">
        <w:rPr>
          <w:rFonts w:ascii="Tahoma" w:hAnsi="Tahoma" w:cs="Tahoma"/>
          <w:sz w:val="20"/>
          <w:szCs w:val="20"/>
        </w:rPr>
        <w:t>nuov</w:t>
      </w:r>
      <w:r w:rsidR="0010472F" w:rsidRPr="00B15171">
        <w:rPr>
          <w:rFonts w:ascii="Tahoma" w:hAnsi="Tahoma" w:cs="Tahoma"/>
          <w:sz w:val="20"/>
          <w:szCs w:val="20"/>
        </w:rPr>
        <w:t>o</w:t>
      </w:r>
      <w:r w:rsidR="0062593B" w:rsidRPr="00B15171">
        <w:rPr>
          <w:rFonts w:ascii="Tahoma" w:hAnsi="Tahoma" w:cs="Tahoma"/>
          <w:sz w:val="20"/>
          <w:szCs w:val="20"/>
        </w:rPr>
        <w:t xml:space="preserve"> comma 2,</w:t>
      </w:r>
      <w:r w:rsidRPr="00B15171">
        <w:rPr>
          <w:rFonts w:ascii="Tahoma" w:hAnsi="Tahoma" w:cs="Tahoma"/>
          <w:sz w:val="20"/>
          <w:szCs w:val="20"/>
        </w:rPr>
        <w:t xml:space="preserve"> il legislatore ha previsto che il termine entro il quale deve essere eseguita la verifica </w:t>
      </w:r>
      <w:r w:rsidR="00E34B2C" w:rsidRPr="00B15171">
        <w:rPr>
          <w:rFonts w:ascii="Tahoma" w:hAnsi="Tahoma" w:cs="Tahoma"/>
          <w:sz w:val="20"/>
          <w:szCs w:val="20"/>
        </w:rPr>
        <w:t>che la perdita si sia ridotta</w:t>
      </w:r>
      <w:r w:rsidRPr="00B15171">
        <w:rPr>
          <w:rFonts w:ascii="Tahoma" w:hAnsi="Tahoma" w:cs="Tahoma"/>
          <w:sz w:val="20"/>
          <w:szCs w:val="20"/>
        </w:rPr>
        <w:t xml:space="preserve"> entro il terzo, con le richiamate conseguenze, è il quinto esercizio successivo </w:t>
      </w:r>
      <w:r w:rsidR="00E34B2C" w:rsidRPr="00B15171">
        <w:rPr>
          <w:rFonts w:ascii="Tahoma" w:hAnsi="Tahoma" w:cs="Tahoma"/>
          <w:sz w:val="20"/>
          <w:szCs w:val="20"/>
        </w:rPr>
        <w:t xml:space="preserve">al 2020 </w:t>
      </w:r>
      <w:r w:rsidRPr="00B15171">
        <w:rPr>
          <w:rFonts w:ascii="Tahoma" w:hAnsi="Tahoma" w:cs="Tahoma"/>
          <w:sz w:val="20"/>
          <w:szCs w:val="20"/>
        </w:rPr>
        <w:t xml:space="preserve">e quindi </w:t>
      </w:r>
      <w:r w:rsidR="00E34B2C" w:rsidRPr="00B15171">
        <w:rPr>
          <w:rFonts w:ascii="Tahoma" w:hAnsi="Tahoma" w:cs="Tahoma"/>
          <w:sz w:val="20"/>
          <w:szCs w:val="20"/>
        </w:rPr>
        <w:t xml:space="preserve">l’esercizio </w:t>
      </w:r>
      <w:r w:rsidRPr="00B15171">
        <w:rPr>
          <w:rFonts w:ascii="Tahoma" w:hAnsi="Tahoma" w:cs="Tahoma"/>
          <w:sz w:val="20"/>
          <w:szCs w:val="20"/>
        </w:rPr>
        <w:t>2025 e se la perdita non si riduce a meno di un terzo, sarà l’assemblea che approva il bilancio 2025 a dover provvedere sulla riduzione.</w:t>
      </w:r>
    </w:p>
    <w:p w14:paraId="00ABACBC" w14:textId="57651B22" w:rsidR="00703C90" w:rsidRPr="00B15171" w:rsidRDefault="008153C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lastRenderedPageBreak/>
        <w:t xml:space="preserve">Quindi, </w:t>
      </w:r>
      <w:r w:rsidRPr="00B15171">
        <w:rPr>
          <w:rFonts w:ascii="Tahoma" w:hAnsi="Tahoma" w:cs="Tahoma"/>
          <w:b/>
          <w:sz w:val="20"/>
          <w:szCs w:val="20"/>
        </w:rPr>
        <w:t>senza sospensione</w:t>
      </w:r>
      <w:r w:rsidRPr="00B15171">
        <w:rPr>
          <w:rFonts w:ascii="Tahoma" w:hAnsi="Tahoma" w:cs="Tahoma"/>
          <w:sz w:val="20"/>
          <w:szCs w:val="20"/>
        </w:rPr>
        <w:t xml:space="preserve"> del secondo e terzo comma dell’art. 2446 c.c. e del </w:t>
      </w:r>
      <w:r w:rsidRPr="00B15171">
        <w:rPr>
          <w:rFonts w:ascii="Tahoma" w:hAnsi="Tahoma" w:cs="Tahoma"/>
          <w:color w:val="444444"/>
          <w:sz w:val="20"/>
          <w:szCs w:val="20"/>
        </w:rPr>
        <w:t xml:space="preserve">quarto,  quinto  e  sesto  </w:t>
      </w:r>
      <w:r w:rsidR="00E34B2C" w:rsidRPr="00B15171">
        <w:rPr>
          <w:rFonts w:ascii="Tahoma" w:hAnsi="Tahoma" w:cs="Tahoma"/>
          <w:sz w:val="20"/>
          <w:szCs w:val="20"/>
        </w:rPr>
        <w:t>comma</w:t>
      </w:r>
      <w:r w:rsidRPr="00B15171">
        <w:rPr>
          <w:rFonts w:ascii="Tahoma" w:hAnsi="Tahoma" w:cs="Tahoma"/>
          <w:sz w:val="20"/>
          <w:szCs w:val="20"/>
        </w:rPr>
        <w:t xml:space="preserve"> dell’art, 2482-</w:t>
      </w:r>
      <w:r w:rsidRPr="00B15171">
        <w:rPr>
          <w:rFonts w:ascii="Tahoma" w:hAnsi="Tahoma" w:cs="Tahoma"/>
          <w:i/>
          <w:sz w:val="20"/>
          <w:szCs w:val="20"/>
        </w:rPr>
        <w:t xml:space="preserve">bis </w:t>
      </w:r>
      <w:r w:rsidR="00E34B2C" w:rsidRPr="00B15171">
        <w:rPr>
          <w:rFonts w:ascii="Tahoma" w:hAnsi="Tahoma" w:cs="Tahoma"/>
          <w:sz w:val="20"/>
          <w:szCs w:val="20"/>
        </w:rPr>
        <w:t xml:space="preserve">c.c. </w:t>
      </w:r>
      <w:r w:rsidRPr="00B15171">
        <w:rPr>
          <w:rFonts w:ascii="Tahoma" w:hAnsi="Tahoma" w:cs="Tahoma"/>
          <w:sz w:val="20"/>
          <w:szCs w:val="20"/>
        </w:rPr>
        <w:t>la situazione sarebbe stata la seguente:</w:t>
      </w:r>
    </w:p>
    <w:p w14:paraId="642C767D" w14:textId="5CCECB87" w:rsidR="000E2A42" w:rsidRDefault="00703C90"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sz w:val="20"/>
          <w:szCs w:val="20"/>
        </w:rPr>
        <w:t>SENZA SOSPENSIONE (PERDITE 2020</w:t>
      </w:r>
      <w:r w:rsidR="000E2A42" w:rsidRPr="00B15171">
        <w:rPr>
          <w:rFonts w:ascii="Tahoma" w:hAnsi="Tahoma" w:cs="Tahoma"/>
          <w:sz w:val="20"/>
          <w:szCs w:val="20"/>
        </w:rPr>
        <w:t xml:space="preserve"> superiori al terzo</w:t>
      </w:r>
      <w:r w:rsidRPr="00B15171">
        <w:rPr>
          <w:rFonts w:ascii="Tahoma" w:hAnsi="Tahoma" w:cs="Tahoma"/>
          <w:sz w:val="20"/>
          <w:szCs w:val="20"/>
        </w:rPr>
        <w:t>)</w:t>
      </w:r>
    </w:p>
    <w:tbl>
      <w:tblPr>
        <w:tblStyle w:val="Grigliatabella"/>
        <w:tblW w:w="0" w:type="auto"/>
        <w:tblLook w:val="04A0" w:firstRow="1" w:lastRow="0" w:firstColumn="1" w:lastColumn="0" w:noHBand="0" w:noVBand="1"/>
      </w:tblPr>
      <w:tblGrid>
        <w:gridCol w:w="9628"/>
      </w:tblGrid>
      <w:tr w:rsidR="009208F3" w14:paraId="46BB2C28" w14:textId="77777777" w:rsidTr="003B5138">
        <w:tc>
          <w:tcPr>
            <w:tcW w:w="9628" w:type="dxa"/>
          </w:tcPr>
          <w:p w14:paraId="469457E5" w14:textId="0A77F4F5"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Capitale 99.000</w:t>
            </w:r>
          </w:p>
          <w:p w14:paraId="43FCD863" w14:textId="08BEDF7B"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Perdita 2020: 35.000</w:t>
            </w:r>
          </w:p>
          <w:p w14:paraId="560632E4" w14:textId="7180430D"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Termine entro il quale la perdita deve ridursi a meno di 33.000: 31/12/2021</w:t>
            </w:r>
          </w:p>
          <w:p w14:paraId="46DB485E" w14:textId="31DA3AD6"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Altrimenti l’assemblea che approva il bilancio 2021 deve proporzionalmente ridurre il capitale</w:t>
            </w:r>
          </w:p>
          <w:p w14:paraId="4500B20B" w14:textId="65741B6F" w:rsidR="009208F3" w:rsidRPr="00422E2D" w:rsidRDefault="00422E2D" w:rsidP="00422E2D">
            <w:pPr>
              <w:pStyle w:val="Paragrafoelenco"/>
              <w:numPr>
                <w:ilvl w:val="0"/>
                <w:numId w:val="33"/>
              </w:numPr>
              <w:spacing w:before="60" w:after="60" w:line="326" w:lineRule="auto"/>
              <w:ind w:left="461"/>
              <w:rPr>
                <w:rFonts w:ascii="Tahoma" w:hAnsi="Tahoma" w:cs="Tahoma"/>
                <w:sz w:val="20"/>
                <w:szCs w:val="20"/>
              </w:rPr>
            </w:pPr>
            <w:r w:rsidRPr="00422E2D">
              <w:rPr>
                <w:rFonts w:ascii="Tahoma" w:hAnsi="Tahoma" w:cs="Tahoma"/>
                <w:sz w:val="20"/>
                <w:szCs w:val="20"/>
              </w:rPr>
              <w:t>•</w:t>
            </w:r>
            <w:r w:rsidRPr="00422E2D">
              <w:rPr>
                <w:rFonts w:ascii="Tahoma" w:hAnsi="Tahoma" w:cs="Tahoma"/>
                <w:sz w:val="20"/>
                <w:szCs w:val="20"/>
              </w:rPr>
              <w:tab/>
              <w:t>In mancanza interviene il Tribunale, sentito il Pubblico Ministero, su istanza di amministratori e sindaci</w:t>
            </w:r>
          </w:p>
        </w:tc>
      </w:tr>
    </w:tbl>
    <w:p w14:paraId="22D5FB1B" w14:textId="77777777" w:rsidR="00422E2D" w:rsidRDefault="00422E2D" w:rsidP="00B15171">
      <w:pPr>
        <w:spacing w:after="200" w:line="360" w:lineRule="auto"/>
        <w:rPr>
          <w:rFonts w:ascii="Tahoma" w:hAnsi="Tahoma" w:cs="Tahoma"/>
          <w:b/>
          <w:sz w:val="20"/>
          <w:szCs w:val="20"/>
        </w:rPr>
      </w:pPr>
    </w:p>
    <w:p w14:paraId="094CEADF" w14:textId="060EF482" w:rsidR="00DD1B11" w:rsidRPr="00B15171" w:rsidRDefault="008153CE" w:rsidP="00B15171">
      <w:pPr>
        <w:spacing w:after="200" w:line="360" w:lineRule="auto"/>
        <w:rPr>
          <w:rFonts w:ascii="Tahoma" w:hAnsi="Tahoma" w:cs="Tahoma"/>
          <w:sz w:val="20"/>
          <w:szCs w:val="20"/>
        </w:rPr>
      </w:pPr>
      <w:r w:rsidRPr="00B15171">
        <w:rPr>
          <w:rFonts w:ascii="Tahoma" w:hAnsi="Tahoma" w:cs="Tahoma"/>
          <w:b/>
          <w:sz w:val="20"/>
          <w:szCs w:val="20"/>
        </w:rPr>
        <w:t>Con la  sospensione</w:t>
      </w:r>
      <w:r w:rsidRPr="00B15171">
        <w:rPr>
          <w:rFonts w:ascii="Tahoma" w:hAnsi="Tahoma" w:cs="Tahoma"/>
          <w:sz w:val="20"/>
          <w:szCs w:val="20"/>
        </w:rPr>
        <w:t xml:space="preserve"> del secondo e terzo comma dell’art. 2446 c.c. e del quarto,  quinto  e  sesto  comma,  dell’art, 2482-</w:t>
      </w:r>
      <w:r w:rsidRPr="00B15171">
        <w:rPr>
          <w:rFonts w:ascii="Tahoma" w:hAnsi="Tahoma" w:cs="Tahoma"/>
          <w:i/>
          <w:sz w:val="20"/>
          <w:szCs w:val="20"/>
        </w:rPr>
        <w:t xml:space="preserve">bis </w:t>
      </w:r>
      <w:r w:rsidRPr="00B15171">
        <w:rPr>
          <w:rFonts w:ascii="Tahoma" w:hAnsi="Tahoma" w:cs="Tahoma"/>
          <w:sz w:val="20"/>
          <w:szCs w:val="20"/>
        </w:rPr>
        <w:t>del codice civile la situazione è la seguente:</w:t>
      </w:r>
    </w:p>
    <w:p w14:paraId="51D0A016" w14:textId="634F7E42" w:rsidR="008153CE" w:rsidRDefault="000E2A42" w:rsidP="000A5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sz w:val="20"/>
          <w:szCs w:val="20"/>
        </w:rPr>
        <w:t>CON SOSPENSIONE (PERDITE 2020 superiori al terzo)</w:t>
      </w:r>
    </w:p>
    <w:tbl>
      <w:tblPr>
        <w:tblStyle w:val="Grigliatabella"/>
        <w:tblW w:w="0" w:type="auto"/>
        <w:tblLook w:val="04A0" w:firstRow="1" w:lastRow="0" w:firstColumn="1" w:lastColumn="0" w:noHBand="0" w:noVBand="1"/>
      </w:tblPr>
      <w:tblGrid>
        <w:gridCol w:w="9628"/>
      </w:tblGrid>
      <w:tr w:rsidR="009208F3" w14:paraId="0981C942" w14:textId="77777777" w:rsidTr="003B5138">
        <w:tc>
          <w:tcPr>
            <w:tcW w:w="9628" w:type="dxa"/>
          </w:tcPr>
          <w:p w14:paraId="67631D31" w14:textId="050B889B"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Capitale 99.000</w:t>
            </w:r>
          </w:p>
          <w:p w14:paraId="6063C6C7" w14:textId="6D023B09"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Perdita 2020: 35.000</w:t>
            </w:r>
          </w:p>
          <w:p w14:paraId="6ECDA24C" w14:textId="2AC87E9C"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Termine entro il quale la perdita deve ridursi a meno di 33.000: 31/12/2025</w:t>
            </w:r>
          </w:p>
          <w:p w14:paraId="61D82DED" w14:textId="540F1B4C" w:rsidR="00422E2D" w:rsidRPr="00422E2D" w:rsidRDefault="00422E2D" w:rsidP="00422E2D">
            <w:pPr>
              <w:pStyle w:val="Paragrafoelenco"/>
              <w:numPr>
                <w:ilvl w:val="0"/>
                <w:numId w:val="11"/>
              </w:numPr>
              <w:spacing w:before="60" w:after="60" w:line="326" w:lineRule="auto"/>
              <w:ind w:left="461"/>
              <w:rPr>
                <w:rFonts w:ascii="Tahoma" w:hAnsi="Tahoma" w:cs="Tahoma"/>
                <w:sz w:val="20"/>
                <w:szCs w:val="20"/>
              </w:rPr>
            </w:pPr>
            <w:r w:rsidRPr="00422E2D">
              <w:rPr>
                <w:rFonts w:ascii="Tahoma" w:hAnsi="Tahoma" w:cs="Tahoma"/>
                <w:sz w:val="20"/>
                <w:szCs w:val="20"/>
              </w:rPr>
              <w:t>Altrimenti l’assemblea che approva il bilancio 2025 deve proporzionalmente ridurre il capitale</w:t>
            </w:r>
          </w:p>
          <w:p w14:paraId="1B4036C4" w14:textId="12559EDB" w:rsidR="009208F3" w:rsidRPr="00422E2D" w:rsidRDefault="00422E2D" w:rsidP="00422E2D">
            <w:pPr>
              <w:pStyle w:val="Paragrafoelenco"/>
              <w:numPr>
                <w:ilvl w:val="0"/>
                <w:numId w:val="32"/>
              </w:numPr>
              <w:spacing w:before="60" w:after="60" w:line="326" w:lineRule="auto"/>
              <w:ind w:left="461"/>
              <w:rPr>
                <w:rFonts w:ascii="Tahoma" w:hAnsi="Tahoma" w:cs="Tahoma"/>
                <w:sz w:val="20"/>
                <w:szCs w:val="20"/>
              </w:rPr>
            </w:pPr>
            <w:r w:rsidRPr="00422E2D">
              <w:rPr>
                <w:rFonts w:ascii="Tahoma" w:hAnsi="Tahoma" w:cs="Tahoma"/>
                <w:sz w:val="20"/>
                <w:szCs w:val="20"/>
              </w:rPr>
              <w:t>In mancanza interviene il Tribunale, sentito il Pubblico Ministero, su istanza di amministratori e sindaci.</w:t>
            </w:r>
          </w:p>
        </w:tc>
      </w:tr>
    </w:tbl>
    <w:p w14:paraId="4BDC3682" w14:textId="77777777" w:rsidR="009208F3" w:rsidRPr="00B15171" w:rsidRDefault="009208F3" w:rsidP="000A5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p>
    <w:p w14:paraId="1FC78E81" w14:textId="33B8E272" w:rsidR="00E34B2C" w:rsidRPr="00B15171" w:rsidRDefault="008153CE"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Per quanto riguarda l’applicazione dell’art. 2447 c.c. e dell’art. 2482-</w:t>
      </w:r>
      <w:r w:rsidRPr="00B15171">
        <w:rPr>
          <w:rFonts w:ascii="Tahoma" w:hAnsi="Tahoma" w:cs="Tahoma"/>
          <w:i/>
          <w:sz w:val="20"/>
          <w:szCs w:val="20"/>
        </w:rPr>
        <w:t>ter</w:t>
      </w:r>
      <w:r w:rsidRPr="00B15171">
        <w:rPr>
          <w:rFonts w:ascii="Tahoma" w:hAnsi="Tahoma" w:cs="Tahoma"/>
          <w:sz w:val="20"/>
          <w:szCs w:val="20"/>
        </w:rPr>
        <w:t xml:space="preserve"> c.c. la disciplina ordinaria stabilisce che gli amministratori devono senza indugio convocare l’assemblea per deliberare la riduzione del capitale ed il contemporaneo aumento dello stesso al</w:t>
      </w:r>
      <w:r w:rsidR="00964495" w:rsidRPr="00B15171">
        <w:rPr>
          <w:rFonts w:ascii="Tahoma" w:hAnsi="Tahoma" w:cs="Tahoma"/>
          <w:sz w:val="20"/>
          <w:szCs w:val="20"/>
        </w:rPr>
        <w:t>meno al</w:t>
      </w:r>
      <w:r w:rsidRPr="00B15171">
        <w:rPr>
          <w:rFonts w:ascii="Tahoma" w:hAnsi="Tahoma" w:cs="Tahoma"/>
          <w:sz w:val="20"/>
          <w:szCs w:val="20"/>
        </w:rPr>
        <w:t xml:space="preserve"> minimo o, altrimenti, la trasformazione della società.</w:t>
      </w:r>
    </w:p>
    <w:p w14:paraId="45B2A768" w14:textId="447AC55B" w:rsidR="00857B90" w:rsidRPr="00B15171" w:rsidRDefault="00857B90"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Occorre immediatamente specificare come</w:t>
      </w:r>
      <w:r w:rsidR="00703C90" w:rsidRPr="00B15171">
        <w:rPr>
          <w:rFonts w:ascii="Tahoma" w:hAnsi="Tahoma" w:cs="Tahoma"/>
          <w:sz w:val="20"/>
          <w:szCs w:val="20"/>
        </w:rPr>
        <w:t>,</w:t>
      </w:r>
      <w:r w:rsidRPr="00B15171">
        <w:rPr>
          <w:rFonts w:ascii="Tahoma" w:hAnsi="Tahoma" w:cs="Tahoma"/>
          <w:sz w:val="20"/>
          <w:szCs w:val="20"/>
        </w:rPr>
        <w:t xml:space="preserve"> secondo la dottrina dominante</w:t>
      </w:r>
      <w:r w:rsidR="00703C90" w:rsidRPr="00B15171">
        <w:rPr>
          <w:rFonts w:ascii="Tahoma" w:hAnsi="Tahoma" w:cs="Tahoma"/>
          <w:sz w:val="20"/>
          <w:szCs w:val="20"/>
        </w:rPr>
        <w:t>,</w:t>
      </w:r>
      <w:r w:rsidRPr="00B15171">
        <w:rPr>
          <w:rFonts w:ascii="Tahoma" w:hAnsi="Tahoma" w:cs="Tahoma"/>
          <w:sz w:val="20"/>
          <w:szCs w:val="20"/>
        </w:rPr>
        <w:t xml:space="preserve"> la mancata previsione dell’obbligo di agire per i sindaci in caso di inattività degli amministratori sia un semplice </w:t>
      </w:r>
      <w:r w:rsidRPr="00B15171">
        <w:rPr>
          <w:rFonts w:ascii="Tahoma" w:hAnsi="Tahoma" w:cs="Tahoma"/>
          <w:i/>
          <w:sz w:val="20"/>
          <w:szCs w:val="20"/>
        </w:rPr>
        <w:t>lapsus calami</w:t>
      </w:r>
      <w:r w:rsidRPr="00B15171">
        <w:rPr>
          <w:rFonts w:ascii="Tahoma" w:hAnsi="Tahoma" w:cs="Tahoma"/>
          <w:sz w:val="20"/>
          <w:szCs w:val="20"/>
        </w:rPr>
        <w:t xml:space="preserve"> del legislatore e che in realtà l’obbligo sussista.</w:t>
      </w:r>
    </w:p>
    <w:p w14:paraId="632A26F3" w14:textId="7E2ED79F" w:rsidR="008153CE" w:rsidRPr="00B15171" w:rsidRDefault="00857B90" w:rsidP="000A5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jc w:val="both"/>
        <w:rPr>
          <w:rFonts w:ascii="Tahoma" w:hAnsi="Tahoma" w:cs="Tahoma"/>
          <w:sz w:val="20"/>
          <w:szCs w:val="20"/>
        </w:rPr>
      </w:pPr>
      <w:r w:rsidRPr="00B15171">
        <w:rPr>
          <w:rFonts w:ascii="Tahoma" w:hAnsi="Tahoma" w:cs="Tahoma"/>
          <w:sz w:val="20"/>
          <w:szCs w:val="20"/>
        </w:rPr>
        <w:t>Anche in questo caso “</w:t>
      </w:r>
      <w:r w:rsidRPr="00B15171">
        <w:rPr>
          <w:rFonts w:ascii="Tahoma" w:hAnsi="Tahoma" w:cs="Tahoma"/>
          <w:i/>
          <w:sz w:val="20"/>
          <w:szCs w:val="20"/>
        </w:rPr>
        <w:t>senza indugio”</w:t>
      </w:r>
      <w:r w:rsidRPr="00B15171">
        <w:rPr>
          <w:rFonts w:ascii="Tahoma" w:hAnsi="Tahoma" w:cs="Tahoma"/>
          <w:sz w:val="20"/>
          <w:szCs w:val="20"/>
        </w:rPr>
        <w:t xml:space="preserve"> può essere inteso come i</w:t>
      </w:r>
      <w:r w:rsidR="00E34B2C" w:rsidRPr="00B15171">
        <w:rPr>
          <w:rFonts w:ascii="Tahoma" w:hAnsi="Tahoma" w:cs="Tahoma"/>
          <w:sz w:val="20"/>
          <w:szCs w:val="20"/>
        </w:rPr>
        <w:t xml:space="preserve">l tempo ragionevolmente necessario per l’esame della situazione </w:t>
      </w:r>
      <w:r w:rsidRPr="00B15171">
        <w:rPr>
          <w:rFonts w:ascii="Tahoma" w:hAnsi="Tahoma" w:cs="Tahoma"/>
          <w:sz w:val="20"/>
          <w:szCs w:val="20"/>
        </w:rPr>
        <w:t>e quello tecnicamente indispensabile per la convocazione dell’assemblea</w:t>
      </w:r>
      <w:r w:rsidR="0062593B" w:rsidRPr="00B15171">
        <w:rPr>
          <w:rFonts w:ascii="Tahoma" w:hAnsi="Tahoma" w:cs="Tahoma"/>
          <w:sz w:val="20"/>
          <w:szCs w:val="20"/>
        </w:rPr>
        <w:t xml:space="preserve"> (</w:t>
      </w:r>
      <w:r w:rsidR="00307140" w:rsidRPr="00B15171">
        <w:rPr>
          <w:rFonts w:ascii="Tahoma" w:hAnsi="Tahoma" w:cs="Tahoma"/>
          <w:sz w:val="20"/>
          <w:szCs w:val="20"/>
        </w:rPr>
        <w:t xml:space="preserve">e peraltro l’assemblea </w:t>
      </w:r>
      <w:r w:rsidR="0062593B" w:rsidRPr="00B15171">
        <w:rPr>
          <w:rFonts w:ascii="Tahoma" w:hAnsi="Tahoma" w:cs="Tahoma"/>
          <w:sz w:val="20"/>
          <w:szCs w:val="20"/>
        </w:rPr>
        <w:t>che procede alla riduzione del capitale ed al suo contestuale incremento è un’assemblea straordinaria)</w:t>
      </w:r>
      <w:r w:rsidRPr="00B15171">
        <w:rPr>
          <w:rFonts w:ascii="Tahoma" w:hAnsi="Tahoma" w:cs="Tahoma"/>
          <w:sz w:val="20"/>
          <w:szCs w:val="20"/>
        </w:rPr>
        <w:t>, fermo restando il termine di 30 giorni previsto ai fini dell’emersione della fattispecie di reato di cui all’art. 2631 c.c.</w:t>
      </w:r>
      <w:r w:rsidR="0062593B" w:rsidRPr="00B15171">
        <w:rPr>
          <w:rFonts w:ascii="Tahoma" w:hAnsi="Tahoma" w:cs="Tahoma"/>
          <w:sz w:val="20"/>
          <w:szCs w:val="20"/>
        </w:rPr>
        <w:t xml:space="preserve"> entro il quale la convocazione va effettuata</w:t>
      </w:r>
      <w:r w:rsidRPr="00B15171">
        <w:rPr>
          <w:rFonts w:ascii="Tahoma" w:hAnsi="Tahoma" w:cs="Tahoma"/>
          <w:sz w:val="20"/>
          <w:szCs w:val="20"/>
        </w:rPr>
        <w:t>.</w:t>
      </w:r>
    </w:p>
    <w:p w14:paraId="2A6667E8" w14:textId="5045B8C0" w:rsidR="000E2A42" w:rsidRPr="00B15171" w:rsidRDefault="00857B90" w:rsidP="00B15171">
      <w:pPr>
        <w:spacing w:after="200" w:line="360" w:lineRule="auto"/>
        <w:jc w:val="both"/>
        <w:rPr>
          <w:rFonts w:ascii="Tahoma" w:hAnsi="Tahoma" w:cs="Tahoma"/>
          <w:sz w:val="20"/>
          <w:szCs w:val="20"/>
        </w:rPr>
      </w:pPr>
      <w:r w:rsidRPr="00B15171">
        <w:rPr>
          <w:rFonts w:ascii="Tahoma" w:hAnsi="Tahoma" w:cs="Tahoma"/>
          <w:sz w:val="20"/>
          <w:szCs w:val="20"/>
        </w:rPr>
        <w:t>Quindi in una ordinaria annualità</w:t>
      </w:r>
      <w:r w:rsidR="00960361" w:rsidRPr="00B15171">
        <w:rPr>
          <w:rFonts w:ascii="Tahoma" w:hAnsi="Tahoma" w:cs="Tahoma"/>
          <w:sz w:val="20"/>
          <w:szCs w:val="20"/>
        </w:rPr>
        <w:t>, in una spa</w:t>
      </w:r>
      <w:r w:rsidRPr="00B15171">
        <w:rPr>
          <w:rFonts w:ascii="Tahoma" w:hAnsi="Tahoma" w:cs="Tahoma"/>
          <w:sz w:val="20"/>
          <w:szCs w:val="20"/>
        </w:rPr>
        <w:t>:</w:t>
      </w:r>
    </w:p>
    <w:p w14:paraId="2548201E" w14:textId="7BAB8589" w:rsidR="00857B90" w:rsidRDefault="000E2A42" w:rsidP="00B15171">
      <w:pPr>
        <w:spacing w:after="200" w:line="360" w:lineRule="auto"/>
        <w:jc w:val="both"/>
        <w:rPr>
          <w:rFonts w:ascii="Tahoma" w:hAnsi="Tahoma" w:cs="Tahoma"/>
          <w:sz w:val="20"/>
          <w:szCs w:val="20"/>
        </w:rPr>
      </w:pPr>
      <w:r w:rsidRPr="00B15171">
        <w:rPr>
          <w:rFonts w:ascii="Tahoma" w:hAnsi="Tahoma" w:cs="Tahoma"/>
          <w:sz w:val="20"/>
          <w:szCs w:val="20"/>
        </w:rPr>
        <w:t>SENZA SOSPENSIONE (PERDITE 2020 superiori al terzo e che lo riducono al di sotto del minimo legale)</w:t>
      </w:r>
    </w:p>
    <w:tbl>
      <w:tblPr>
        <w:tblStyle w:val="Grigliatabella"/>
        <w:tblW w:w="0" w:type="auto"/>
        <w:tblLook w:val="04A0" w:firstRow="1" w:lastRow="0" w:firstColumn="1" w:lastColumn="0" w:noHBand="0" w:noVBand="1"/>
      </w:tblPr>
      <w:tblGrid>
        <w:gridCol w:w="9628"/>
      </w:tblGrid>
      <w:tr w:rsidR="009208F3" w14:paraId="11E4751C" w14:textId="77777777" w:rsidTr="003B5138">
        <w:tc>
          <w:tcPr>
            <w:tcW w:w="9628" w:type="dxa"/>
          </w:tcPr>
          <w:p w14:paraId="3EEA9E87" w14:textId="63F88CD5" w:rsidR="00422E2D" w:rsidRPr="00422E2D" w:rsidRDefault="00422E2D" w:rsidP="00422E2D">
            <w:pPr>
              <w:pStyle w:val="Paragrafoelenco"/>
              <w:numPr>
                <w:ilvl w:val="0"/>
                <w:numId w:val="32"/>
              </w:numPr>
              <w:spacing w:before="60" w:after="60" w:line="326" w:lineRule="auto"/>
              <w:ind w:left="461"/>
              <w:rPr>
                <w:rFonts w:ascii="Tahoma" w:hAnsi="Tahoma" w:cs="Tahoma"/>
                <w:sz w:val="20"/>
                <w:szCs w:val="20"/>
              </w:rPr>
            </w:pPr>
            <w:r w:rsidRPr="00422E2D">
              <w:rPr>
                <w:rFonts w:ascii="Tahoma" w:hAnsi="Tahoma" w:cs="Tahoma"/>
                <w:sz w:val="20"/>
                <w:szCs w:val="20"/>
              </w:rPr>
              <w:lastRenderedPageBreak/>
              <w:t>Capitale 99.000</w:t>
            </w:r>
          </w:p>
          <w:p w14:paraId="49D06467" w14:textId="267FCF0F" w:rsidR="00422E2D" w:rsidRPr="00422E2D" w:rsidRDefault="00422E2D" w:rsidP="00422E2D">
            <w:pPr>
              <w:pStyle w:val="Paragrafoelenco"/>
              <w:numPr>
                <w:ilvl w:val="0"/>
                <w:numId w:val="32"/>
              </w:numPr>
              <w:spacing w:before="60" w:after="60" w:line="326" w:lineRule="auto"/>
              <w:ind w:left="461"/>
              <w:rPr>
                <w:rFonts w:ascii="Tahoma" w:hAnsi="Tahoma" w:cs="Tahoma"/>
                <w:sz w:val="20"/>
                <w:szCs w:val="20"/>
              </w:rPr>
            </w:pPr>
            <w:r w:rsidRPr="00422E2D">
              <w:rPr>
                <w:rFonts w:ascii="Tahoma" w:hAnsi="Tahoma" w:cs="Tahoma"/>
                <w:sz w:val="20"/>
                <w:szCs w:val="20"/>
              </w:rPr>
              <w:t>Perdita 2020: 95.000</w:t>
            </w:r>
          </w:p>
          <w:p w14:paraId="5AA8A892" w14:textId="63C30AB6" w:rsidR="00422E2D" w:rsidRPr="00422E2D" w:rsidRDefault="00422E2D" w:rsidP="00422E2D">
            <w:pPr>
              <w:pStyle w:val="Paragrafoelenco"/>
              <w:numPr>
                <w:ilvl w:val="0"/>
                <w:numId w:val="32"/>
              </w:numPr>
              <w:spacing w:before="60" w:after="60" w:line="326" w:lineRule="auto"/>
              <w:ind w:left="461"/>
              <w:rPr>
                <w:rFonts w:ascii="Tahoma" w:hAnsi="Tahoma" w:cs="Tahoma"/>
                <w:sz w:val="20"/>
                <w:szCs w:val="20"/>
              </w:rPr>
            </w:pPr>
            <w:r w:rsidRPr="00422E2D">
              <w:rPr>
                <w:rFonts w:ascii="Tahoma" w:hAnsi="Tahoma" w:cs="Tahoma"/>
                <w:sz w:val="20"/>
                <w:szCs w:val="20"/>
              </w:rPr>
              <w:t>Termine entro il quale la perdita deve esser coperta ed il capitale riportato almeno al minimo: assemblea da convocare senza indugio</w:t>
            </w:r>
          </w:p>
          <w:p w14:paraId="3FB15A5D" w14:textId="29A8C29A" w:rsidR="009208F3" w:rsidRPr="00422E2D" w:rsidRDefault="00422E2D" w:rsidP="00422E2D">
            <w:pPr>
              <w:pStyle w:val="Paragrafoelenco"/>
              <w:numPr>
                <w:ilvl w:val="0"/>
                <w:numId w:val="32"/>
              </w:numPr>
              <w:spacing w:before="60" w:after="60" w:line="326" w:lineRule="auto"/>
              <w:ind w:left="461"/>
              <w:rPr>
                <w:rFonts w:ascii="Tahoma" w:hAnsi="Tahoma" w:cs="Tahoma"/>
                <w:sz w:val="20"/>
                <w:szCs w:val="20"/>
              </w:rPr>
            </w:pPr>
            <w:r w:rsidRPr="00422E2D">
              <w:rPr>
                <w:rFonts w:ascii="Tahoma" w:hAnsi="Tahoma" w:cs="Tahoma"/>
                <w:sz w:val="20"/>
                <w:szCs w:val="20"/>
              </w:rPr>
              <w:t>Altrimenti l’assemblea delibera la trasformazione della società</w:t>
            </w:r>
          </w:p>
        </w:tc>
      </w:tr>
    </w:tbl>
    <w:p w14:paraId="0E2267A2" w14:textId="77777777" w:rsidR="009208F3" w:rsidRPr="00B15171" w:rsidRDefault="009208F3" w:rsidP="00B15171">
      <w:pPr>
        <w:spacing w:after="200" w:line="360" w:lineRule="auto"/>
        <w:jc w:val="both"/>
        <w:rPr>
          <w:rFonts w:ascii="Tahoma" w:hAnsi="Tahoma" w:cs="Tahoma"/>
          <w:sz w:val="20"/>
          <w:szCs w:val="20"/>
        </w:rPr>
      </w:pPr>
    </w:p>
    <w:p w14:paraId="1B6372FE" w14:textId="7B125FE0" w:rsidR="00857B90" w:rsidRPr="00B15171" w:rsidRDefault="00E12ABA" w:rsidP="00B15171">
      <w:pPr>
        <w:spacing w:after="200" w:line="360" w:lineRule="auto"/>
        <w:jc w:val="both"/>
        <w:rPr>
          <w:rFonts w:ascii="Tahoma" w:hAnsi="Tahoma" w:cs="Tahoma"/>
          <w:sz w:val="20"/>
          <w:szCs w:val="20"/>
        </w:rPr>
      </w:pPr>
      <w:r w:rsidRPr="00B15171">
        <w:rPr>
          <w:rFonts w:ascii="Tahoma" w:hAnsi="Tahoma" w:cs="Tahoma"/>
          <w:sz w:val="20"/>
          <w:szCs w:val="20"/>
        </w:rPr>
        <w:t>Nell’esercizio 2020, qualora fosse</w:t>
      </w:r>
      <w:r w:rsidR="00703C90" w:rsidRPr="00B15171">
        <w:rPr>
          <w:rFonts w:ascii="Tahoma" w:hAnsi="Tahoma" w:cs="Tahoma"/>
          <w:sz w:val="20"/>
          <w:szCs w:val="20"/>
        </w:rPr>
        <w:t xml:space="preserve"> stata</w:t>
      </w:r>
      <w:r w:rsidRPr="00B15171">
        <w:rPr>
          <w:rFonts w:ascii="Tahoma" w:hAnsi="Tahoma" w:cs="Tahoma"/>
          <w:sz w:val="20"/>
          <w:szCs w:val="20"/>
        </w:rPr>
        <w:t xml:space="preserve"> constatata la fattispecie di una perdita superiore al terzo che lo riduce al di sotto del minimo legale</w:t>
      </w:r>
      <w:r w:rsidR="00703C90" w:rsidRPr="00B15171">
        <w:rPr>
          <w:rFonts w:ascii="Tahoma" w:hAnsi="Tahoma" w:cs="Tahoma"/>
          <w:sz w:val="20"/>
          <w:szCs w:val="20"/>
        </w:rPr>
        <w:t>,</w:t>
      </w:r>
      <w:r w:rsidRPr="00B15171">
        <w:rPr>
          <w:rFonts w:ascii="Tahoma" w:hAnsi="Tahoma" w:cs="Tahoma"/>
          <w:sz w:val="20"/>
          <w:szCs w:val="20"/>
        </w:rPr>
        <w:t xml:space="preserve"> gli amministratori </w:t>
      </w:r>
      <w:r w:rsidR="00703C90" w:rsidRPr="00B15171">
        <w:rPr>
          <w:rFonts w:ascii="Tahoma" w:hAnsi="Tahoma" w:cs="Tahoma"/>
          <w:sz w:val="20"/>
          <w:szCs w:val="20"/>
        </w:rPr>
        <w:t>avrebbero dovut</w:t>
      </w:r>
      <w:r w:rsidRPr="00B15171">
        <w:rPr>
          <w:rFonts w:ascii="Tahoma" w:hAnsi="Tahoma" w:cs="Tahoma"/>
          <w:sz w:val="20"/>
          <w:szCs w:val="20"/>
        </w:rPr>
        <w:t>o comunque convocare l’assemblea, in quanto l’informativa è comunque e sempre obbligatoria.</w:t>
      </w:r>
    </w:p>
    <w:p w14:paraId="513F3D1C" w14:textId="5E9888CD" w:rsidR="00E12ABA" w:rsidRPr="00B15171" w:rsidRDefault="00E12ABA" w:rsidP="00B15171">
      <w:pPr>
        <w:spacing w:after="200" w:line="360" w:lineRule="auto"/>
        <w:jc w:val="both"/>
        <w:rPr>
          <w:rFonts w:ascii="Tahoma" w:hAnsi="Tahoma" w:cs="Tahoma"/>
          <w:sz w:val="20"/>
          <w:szCs w:val="20"/>
        </w:rPr>
      </w:pPr>
      <w:r w:rsidRPr="00B15171">
        <w:rPr>
          <w:rFonts w:ascii="Tahoma" w:hAnsi="Tahoma" w:cs="Tahoma"/>
          <w:sz w:val="20"/>
          <w:szCs w:val="20"/>
        </w:rPr>
        <w:t xml:space="preserve">L’assemblea però non </w:t>
      </w:r>
      <w:r w:rsidR="00703C90" w:rsidRPr="00B15171">
        <w:rPr>
          <w:rFonts w:ascii="Tahoma" w:hAnsi="Tahoma" w:cs="Tahoma"/>
          <w:sz w:val="20"/>
          <w:szCs w:val="20"/>
        </w:rPr>
        <w:t>era</w:t>
      </w:r>
      <w:r w:rsidRPr="00B15171">
        <w:rPr>
          <w:rFonts w:ascii="Tahoma" w:hAnsi="Tahoma" w:cs="Tahoma"/>
          <w:sz w:val="20"/>
          <w:szCs w:val="20"/>
        </w:rPr>
        <w:t xml:space="preserve"> obbligata a deliberare immediatamente la riduzione del capitale per effetto della perdita ed il suo ripristino almeno fino al limite legale, ma </w:t>
      </w:r>
      <w:r w:rsidR="00703C90" w:rsidRPr="00B15171">
        <w:rPr>
          <w:rFonts w:ascii="Tahoma" w:hAnsi="Tahoma" w:cs="Tahoma"/>
          <w:sz w:val="20"/>
          <w:szCs w:val="20"/>
        </w:rPr>
        <w:t>poteva</w:t>
      </w:r>
      <w:r w:rsidRPr="00B15171">
        <w:rPr>
          <w:rFonts w:ascii="Tahoma" w:hAnsi="Tahoma" w:cs="Tahoma"/>
          <w:sz w:val="20"/>
          <w:szCs w:val="20"/>
        </w:rPr>
        <w:t xml:space="preserve"> rinviare tale decisione fino alla chiusura dell’esercizio 2025.</w:t>
      </w:r>
    </w:p>
    <w:p w14:paraId="021835EA" w14:textId="77777777" w:rsidR="000973CD" w:rsidRPr="00B15171" w:rsidRDefault="000973CD" w:rsidP="00B15171">
      <w:pPr>
        <w:spacing w:after="200" w:line="360" w:lineRule="auto"/>
        <w:jc w:val="both"/>
        <w:rPr>
          <w:rFonts w:ascii="Tahoma" w:hAnsi="Tahoma" w:cs="Tahoma"/>
          <w:sz w:val="20"/>
          <w:szCs w:val="20"/>
        </w:rPr>
      </w:pPr>
      <w:r w:rsidRPr="00B15171">
        <w:rPr>
          <w:rFonts w:ascii="Tahoma" w:hAnsi="Tahoma" w:cs="Tahoma"/>
          <w:sz w:val="20"/>
          <w:szCs w:val="20"/>
        </w:rPr>
        <w:t xml:space="preserve">L’assemblea che approva il bilancio dell’esercizio 2025 </w:t>
      </w:r>
      <w:r w:rsidRPr="00B15171">
        <w:rPr>
          <w:rFonts w:ascii="Tahoma" w:hAnsi="Tahoma" w:cs="Tahoma"/>
          <w:b/>
          <w:sz w:val="20"/>
          <w:szCs w:val="20"/>
        </w:rPr>
        <w:t>deve</w:t>
      </w:r>
      <w:r w:rsidRPr="00B15171">
        <w:rPr>
          <w:rFonts w:ascii="Tahoma" w:hAnsi="Tahoma" w:cs="Tahoma"/>
          <w:sz w:val="20"/>
          <w:szCs w:val="20"/>
        </w:rPr>
        <w:t xml:space="preserve"> obbligatoriamente procedere alle deliberazioni previste dalla legge, ovvero alla riduzione del capitale per perdite e al contestuale incremento almeno fino al minimo legale ovvero, in mancanza, deliberare la trasformazione della società.</w:t>
      </w:r>
    </w:p>
    <w:p w14:paraId="218359EC" w14:textId="6612DC88" w:rsidR="00E12ABA" w:rsidRPr="00B15171" w:rsidRDefault="000973CD" w:rsidP="00B15171">
      <w:pPr>
        <w:spacing w:after="200" w:line="360" w:lineRule="auto"/>
        <w:jc w:val="both"/>
        <w:rPr>
          <w:rFonts w:ascii="Tahoma" w:hAnsi="Tahoma" w:cs="Tahoma"/>
          <w:sz w:val="20"/>
          <w:szCs w:val="20"/>
        </w:rPr>
      </w:pPr>
      <w:r w:rsidRPr="00B15171">
        <w:rPr>
          <w:rFonts w:ascii="Tahoma" w:hAnsi="Tahoma" w:cs="Tahoma"/>
          <w:sz w:val="20"/>
          <w:szCs w:val="20"/>
          <w:u w:val="single"/>
        </w:rPr>
        <w:t>L</w:t>
      </w:r>
      <w:r w:rsidR="00EF410C" w:rsidRPr="00B15171">
        <w:rPr>
          <w:rFonts w:ascii="Tahoma" w:hAnsi="Tahoma" w:cs="Tahoma"/>
          <w:sz w:val="20"/>
          <w:szCs w:val="20"/>
          <w:u w:val="single"/>
        </w:rPr>
        <w:t>a legge stabilisce che fino all’assemblea</w:t>
      </w:r>
      <w:r w:rsidRPr="00B15171">
        <w:rPr>
          <w:rFonts w:ascii="Tahoma" w:hAnsi="Tahoma" w:cs="Tahoma"/>
          <w:sz w:val="20"/>
          <w:szCs w:val="20"/>
          <w:u w:val="single"/>
        </w:rPr>
        <w:t xml:space="preserve"> di approvazione del bilancio 2025 non opera la causa di scioglimento</w:t>
      </w:r>
      <w:r w:rsidRPr="00B15171">
        <w:rPr>
          <w:rFonts w:ascii="Tahoma" w:hAnsi="Tahoma" w:cs="Tahoma"/>
          <w:sz w:val="20"/>
          <w:szCs w:val="20"/>
        </w:rPr>
        <w:t xml:space="preserve"> </w:t>
      </w:r>
      <w:r w:rsidR="00F96878" w:rsidRPr="00B15171">
        <w:rPr>
          <w:rFonts w:ascii="Tahoma" w:hAnsi="Tahoma" w:cs="Tahoma"/>
          <w:sz w:val="20"/>
          <w:szCs w:val="20"/>
        </w:rPr>
        <w:t>dovuta alla riduzione del capitale al di sotto del minimo legale a causa di una perdita superiore al terzo.</w:t>
      </w:r>
    </w:p>
    <w:p w14:paraId="471D7618" w14:textId="121B91AB" w:rsidR="00E12ABA" w:rsidRDefault="00E12ABA" w:rsidP="00B15171">
      <w:pPr>
        <w:spacing w:after="200" w:line="360" w:lineRule="auto"/>
        <w:jc w:val="both"/>
        <w:rPr>
          <w:rFonts w:ascii="Tahoma" w:hAnsi="Tahoma" w:cs="Tahoma"/>
          <w:sz w:val="20"/>
          <w:szCs w:val="20"/>
        </w:rPr>
      </w:pPr>
      <w:r w:rsidRPr="00B15171">
        <w:rPr>
          <w:rFonts w:ascii="Tahoma" w:hAnsi="Tahoma" w:cs="Tahoma"/>
          <w:sz w:val="20"/>
          <w:szCs w:val="20"/>
        </w:rPr>
        <w:t>Quindi, nel caso la perdita del bilancio 2020 sia superiore al terzo del capitale e tale da ridurlo al di sotto del minimo legale si avrà</w:t>
      </w:r>
      <w:r w:rsidR="00960361" w:rsidRPr="00B15171">
        <w:rPr>
          <w:rFonts w:ascii="Tahoma" w:hAnsi="Tahoma" w:cs="Tahoma"/>
          <w:sz w:val="20"/>
          <w:szCs w:val="20"/>
        </w:rPr>
        <w:t>, in una spa</w:t>
      </w:r>
      <w:r w:rsidRPr="00B15171">
        <w:rPr>
          <w:rFonts w:ascii="Tahoma" w:hAnsi="Tahoma" w:cs="Tahoma"/>
          <w:sz w:val="20"/>
          <w:szCs w:val="20"/>
        </w:rPr>
        <w:t>:</w:t>
      </w:r>
    </w:p>
    <w:p w14:paraId="1DBA1E42" w14:textId="6E12FC2A" w:rsidR="00460699" w:rsidRDefault="00460699" w:rsidP="00B15171">
      <w:pPr>
        <w:spacing w:after="200" w:line="360" w:lineRule="auto"/>
        <w:jc w:val="both"/>
        <w:rPr>
          <w:rFonts w:ascii="Tahoma" w:hAnsi="Tahoma" w:cs="Tahoma"/>
          <w:sz w:val="20"/>
          <w:szCs w:val="20"/>
        </w:rPr>
      </w:pPr>
      <w:r w:rsidRPr="00B15171">
        <w:rPr>
          <w:rFonts w:ascii="Tahoma" w:hAnsi="Tahoma" w:cs="Tahoma"/>
          <w:sz w:val="20"/>
          <w:szCs w:val="20"/>
        </w:rPr>
        <w:t>CON SOSPENSIONE (PERDITE 2020 superiori al terzo e che lo riducono al di sotto del minimo legale)</w:t>
      </w:r>
    </w:p>
    <w:tbl>
      <w:tblPr>
        <w:tblStyle w:val="Grigliatabella"/>
        <w:tblW w:w="0" w:type="auto"/>
        <w:tblLook w:val="04A0" w:firstRow="1" w:lastRow="0" w:firstColumn="1" w:lastColumn="0" w:noHBand="0" w:noVBand="1"/>
      </w:tblPr>
      <w:tblGrid>
        <w:gridCol w:w="9628"/>
      </w:tblGrid>
      <w:tr w:rsidR="009208F3" w14:paraId="654D97F1" w14:textId="77777777" w:rsidTr="003B5138">
        <w:tc>
          <w:tcPr>
            <w:tcW w:w="9628" w:type="dxa"/>
          </w:tcPr>
          <w:p w14:paraId="266BCE52" w14:textId="57011381"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Capitale 99.000</w:t>
            </w:r>
          </w:p>
          <w:p w14:paraId="10D6DEE2" w14:textId="00D723E5"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Perdita 2020: 95.000</w:t>
            </w:r>
          </w:p>
          <w:p w14:paraId="1E313555" w14:textId="3670E2A8"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L’assemblea deve esser convocata senza indugio</w:t>
            </w:r>
          </w:p>
          <w:p w14:paraId="60D7BE51" w14:textId="687DED18"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La causa di scioglimento per riduzione del capitale al di sotto nel minimo legale non opera fino all’assemblea di approvazione del bilancio 2025</w:t>
            </w:r>
          </w:p>
          <w:p w14:paraId="4FAD0B5B" w14:textId="01E22107"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La delibera di riduzione del capitale per perdite e contestuale incremento fino al minimo legale: entro la chiusura dell’esercizio 2025</w:t>
            </w:r>
          </w:p>
          <w:p w14:paraId="6E559BF9" w14:textId="2EAF9647" w:rsidR="009208F3" w:rsidRPr="009208F3" w:rsidRDefault="009208F3" w:rsidP="009208F3">
            <w:pPr>
              <w:pStyle w:val="Paragrafoelenco"/>
              <w:numPr>
                <w:ilvl w:val="0"/>
                <w:numId w:val="31"/>
              </w:numPr>
              <w:spacing w:before="60" w:after="60" w:line="326" w:lineRule="auto"/>
              <w:ind w:left="461"/>
              <w:rPr>
                <w:rFonts w:ascii="Tahoma" w:hAnsi="Tahoma" w:cs="Tahoma"/>
                <w:sz w:val="20"/>
                <w:szCs w:val="20"/>
              </w:rPr>
            </w:pPr>
            <w:r w:rsidRPr="009208F3">
              <w:rPr>
                <w:rFonts w:ascii="Tahoma" w:hAnsi="Tahoma" w:cs="Tahoma"/>
                <w:sz w:val="20"/>
                <w:szCs w:val="20"/>
              </w:rPr>
              <w:t>Deliberazioni (con eventuale decisione per la trasformazione della società): assemblea che approva il bilancio 2025</w:t>
            </w:r>
          </w:p>
        </w:tc>
      </w:tr>
    </w:tbl>
    <w:p w14:paraId="7763394E" w14:textId="77777777" w:rsidR="009208F3" w:rsidRPr="00B15171" w:rsidRDefault="009208F3" w:rsidP="00B15171">
      <w:pPr>
        <w:spacing w:after="200" w:line="360" w:lineRule="auto"/>
        <w:jc w:val="both"/>
        <w:rPr>
          <w:rFonts w:ascii="Tahoma" w:hAnsi="Tahoma" w:cs="Tahoma"/>
          <w:sz w:val="20"/>
          <w:szCs w:val="20"/>
        </w:rPr>
      </w:pPr>
    </w:p>
    <w:p w14:paraId="0CDC9224" w14:textId="400EE008" w:rsidR="004916EA" w:rsidRPr="00B15171" w:rsidRDefault="00B15171" w:rsidP="00460699">
      <w:pPr>
        <w:spacing w:after="200" w:line="360" w:lineRule="auto"/>
        <w:jc w:val="both"/>
        <w:rPr>
          <w:rFonts w:ascii="Tahoma" w:hAnsi="Tahoma" w:cs="Tahoma"/>
          <w:sz w:val="20"/>
          <w:szCs w:val="20"/>
        </w:rPr>
      </w:pPr>
      <w:r>
        <w:rPr>
          <w:rFonts w:ascii="Tahoma" w:hAnsi="Tahoma" w:cs="Tahoma"/>
          <w:sz w:val="20"/>
          <w:szCs w:val="20"/>
        </w:rPr>
        <w:t>È</w:t>
      </w:r>
      <w:r w:rsidR="00986DCF" w:rsidRPr="00B15171">
        <w:rPr>
          <w:rFonts w:ascii="Tahoma" w:hAnsi="Tahoma" w:cs="Tahoma"/>
          <w:sz w:val="20"/>
          <w:szCs w:val="20"/>
        </w:rPr>
        <w:t xml:space="preserve"> stato poi aggiunto dal legislatore un obbligo di informativa all’interno della nota integrativa</w:t>
      </w:r>
      <w:r w:rsidR="004916EA" w:rsidRPr="00B15171">
        <w:rPr>
          <w:rFonts w:ascii="Tahoma" w:hAnsi="Tahoma" w:cs="Tahoma"/>
          <w:sz w:val="20"/>
          <w:szCs w:val="20"/>
        </w:rPr>
        <w:t xml:space="preserve">: </w:t>
      </w:r>
      <w:r w:rsidR="004916EA" w:rsidRPr="00196E4D">
        <w:rPr>
          <w:rFonts w:ascii="Tahoma" w:hAnsi="Tahoma" w:cs="Tahoma"/>
          <w:sz w:val="20"/>
          <w:szCs w:val="20"/>
          <w:u w:val="single"/>
        </w:rPr>
        <w:t>le perdite rilevanti in quanto superiori ad un terzo del capitale ovvero superiori al terzo del capitale e tali da ridurlo al di sotto del minimo legale</w:t>
      </w:r>
      <w:r w:rsidR="00132210" w:rsidRPr="00196E4D">
        <w:rPr>
          <w:rFonts w:ascii="Tahoma" w:hAnsi="Tahoma" w:cs="Tahoma"/>
          <w:sz w:val="20"/>
          <w:szCs w:val="20"/>
          <w:u w:val="single"/>
        </w:rPr>
        <w:t>,</w:t>
      </w:r>
      <w:r w:rsidR="004916EA" w:rsidRPr="00196E4D">
        <w:rPr>
          <w:rFonts w:ascii="Tahoma" w:hAnsi="Tahoma" w:cs="Tahoma"/>
          <w:sz w:val="20"/>
          <w:szCs w:val="20"/>
          <w:u w:val="single"/>
        </w:rPr>
        <w:t xml:space="preserve"> vanno indicate in nota integrativa </w:t>
      </w:r>
      <w:r w:rsidR="004916EA" w:rsidRPr="00196E4D">
        <w:rPr>
          <w:rFonts w:ascii="Tahoma" w:hAnsi="Tahoma" w:cs="Tahoma"/>
          <w:b/>
          <w:sz w:val="20"/>
          <w:szCs w:val="20"/>
          <w:u w:val="single"/>
        </w:rPr>
        <w:t>in un apposito prospetto</w:t>
      </w:r>
      <w:r w:rsidR="004916EA" w:rsidRPr="00B15171">
        <w:rPr>
          <w:rFonts w:ascii="Tahoma" w:hAnsi="Tahoma" w:cs="Tahoma"/>
          <w:sz w:val="20"/>
          <w:szCs w:val="20"/>
        </w:rPr>
        <w:t>, con specifica della loro origine nonché delle movimentazioni intervenute nell’esercizio.</w:t>
      </w:r>
    </w:p>
    <w:p w14:paraId="67D3F1C4" w14:textId="71E58EB7" w:rsidR="004916EA" w:rsidRDefault="004916EA"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 xml:space="preserve">Il prospetto per il bilancio 2020 </w:t>
      </w:r>
      <w:r w:rsidR="0010472F" w:rsidRPr="00B15171">
        <w:rPr>
          <w:rFonts w:ascii="Tahoma" w:hAnsi="Tahoma" w:cs="Tahoma"/>
          <w:sz w:val="20"/>
          <w:szCs w:val="20"/>
        </w:rPr>
        <w:t>poteva</w:t>
      </w:r>
      <w:r w:rsidRPr="00B15171">
        <w:rPr>
          <w:rFonts w:ascii="Tahoma" w:hAnsi="Tahoma" w:cs="Tahoma"/>
          <w:sz w:val="20"/>
          <w:szCs w:val="20"/>
        </w:rPr>
        <w:t xml:space="preserve"> essere il seguente:</w:t>
      </w:r>
    </w:p>
    <w:tbl>
      <w:tblPr>
        <w:tblStyle w:val="Grigliatabella"/>
        <w:tblW w:w="0" w:type="auto"/>
        <w:tblLook w:val="04A0" w:firstRow="1" w:lastRow="0" w:firstColumn="1" w:lastColumn="0" w:noHBand="0" w:noVBand="1"/>
      </w:tblPr>
      <w:tblGrid>
        <w:gridCol w:w="9628"/>
      </w:tblGrid>
      <w:tr w:rsidR="009208F3" w14:paraId="2C2A3316" w14:textId="77777777" w:rsidTr="003B5138">
        <w:tc>
          <w:tcPr>
            <w:tcW w:w="9628" w:type="dxa"/>
          </w:tcPr>
          <w:p w14:paraId="3E4050A3" w14:textId="77777777" w:rsidR="009208F3" w:rsidRPr="009208F3" w:rsidRDefault="009208F3" w:rsidP="009208F3">
            <w:pPr>
              <w:spacing w:before="60" w:after="60" w:line="326" w:lineRule="auto"/>
              <w:rPr>
                <w:rFonts w:ascii="Tahoma" w:hAnsi="Tahoma" w:cs="Tahoma"/>
                <w:b/>
                <w:bCs/>
                <w:sz w:val="20"/>
                <w:szCs w:val="20"/>
              </w:rPr>
            </w:pPr>
            <w:r w:rsidRPr="009208F3">
              <w:rPr>
                <w:rFonts w:ascii="Tahoma" w:hAnsi="Tahoma" w:cs="Tahoma"/>
                <w:b/>
                <w:bCs/>
                <w:sz w:val="20"/>
                <w:szCs w:val="20"/>
              </w:rPr>
              <w:t xml:space="preserve">Prospetto art. 6, comma 5  DL 23/2020, </w:t>
            </w:r>
            <w:proofErr w:type="spellStart"/>
            <w:r w:rsidRPr="009208F3">
              <w:rPr>
                <w:rFonts w:ascii="Tahoma" w:hAnsi="Tahoma" w:cs="Tahoma"/>
                <w:b/>
                <w:bCs/>
                <w:sz w:val="20"/>
                <w:szCs w:val="20"/>
              </w:rPr>
              <w:t>conv</w:t>
            </w:r>
            <w:proofErr w:type="spellEnd"/>
            <w:r w:rsidRPr="009208F3">
              <w:rPr>
                <w:rFonts w:ascii="Tahoma" w:hAnsi="Tahoma" w:cs="Tahoma"/>
                <w:b/>
                <w:bCs/>
                <w:sz w:val="20"/>
                <w:szCs w:val="20"/>
              </w:rPr>
              <w:t xml:space="preserve"> da L. 40/2020, come modificato dal comma 266 dell’art. 1 della L. 31 dicembre 2020, n. 178</w:t>
            </w:r>
          </w:p>
          <w:p w14:paraId="446250D6" w14:textId="77777777" w:rsidR="009208F3" w:rsidRPr="009208F3" w:rsidRDefault="009208F3" w:rsidP="009208F3">
            <w:pPr>
              <w:spacing w:before="60" w:after="60" w:line="326" w:lineRule="auto"/>
              <w:rPr>
                <w:rFonts w:ascii="Tahoma" w:hAnsi="Tahoma" w:cs="Tahoma"/>
                <w:sz w:val="20"/>
                <w:szCs w:val="20"/>
              </w:rPr>
            </w:pPr>
            <w:r w:rsidRPr="009208F3">
              <w:rPr>
                <w:rFonts w:ascii="Tahoma" w:hAnsi="Tahoma" w:cs="Tahoma"/>
                <w:sz w:val="20"/>
                <w:szCs w:val="20"/>
              </w:rPr>
              <w:t>Perdite non coperte: 1200</w:t>
            </w:r>
          </w:p>
          <w:p w14:paraId="0AC3F07F" w14:textId="77777777" w:rsidR="009208F3" w:rsidRPr="009208F3" w:rsidRDefault="009208F3" w:rsidP="009208F3">
            <w:pPr>
              <w:spacing w:before="60" w:after="60" w:line="326" w:lineRule="auto"/>
              <w:rPr>
                <w:rFonts w:ascii="Tahoma" w:hAnsi="Tahoma" w:cs="Tahoma"/>
                <w:sz w:val="20"/>
                <w:szCs w:val="20"/>
              </w:rPr>
            </w:pPr>
            <w:r w:rsidRPr="009208F3">
              <w:rPr>
                <w:rFonts w:ascii="Tahoma" w:hAnsi="Tahoma" w:cs="Tahoma"/>
                <w:sz w:val="20"/>
                <w:szCs w:val="20"/>
              </w:rPr>
              <w:t>Di cui: Perdite dell’esercizio 2020: 1000</w:t>
            </w:r>
          </w:p>
          <w:p w14:paraId="6497BC93" w14:textId="19EDE7F2" w:rsidR="009208F3" w:rsidRDefault="009208F3" w:rsidP="009208F3">
            <w:pPr>
              <w:spacing w:before="60" w:after="60" w:line="326" w:lineRule="auto"/>
              <w:rPr>
                <w:rFonts w:ascii="Tahoma" w:hAnsi="Tahoma" w:cs="Tahoma"/>
                <w:sz w:val="20"/>
                <w:szCs w:val="20"/>
              </w:rPr>
            </w:pPr>
            <w:r w:rsidRPr="009208F3">
              <w:rPr>
                <w:rFonts w:ascii="Tahoma" w:hAnsi="Tahoma" w:cs="Tahoma"/>
                <w:sz w:val="20"/>
                <w:szCs w:val="20"/>
              </w:rPr>
              <w:t>Le perdite dell’esercizio 2020 derivano dalle difficoltà incontrate dalla società, operante nel settore della ristorazione, nel corso dell’esercizio, a causa della forzata chiusura nei mesi di marzo ed aprile  e dalla chiusura alle ore 18.00 a far data dal mese di novembre. Gli importi a ristoro pervenuti sono riusciti solo ad attutire l’impatto della pesantissima perdita di fatturato</w:t>
            </w:r>
          </w:p>
        </w:tc>
      </w:tr>
    </w:tbl>
    <w:p w14:paraId="62414DBB" w14:textId="77777777" w:rsidR="00146924" w:rsidRPr="00B15171" w:rsidRDefault="00146924" w:rsidP="00B15171">
      <w:pPr>
        <w:spacing w:after="200" w:line="360" w:lineRule="auto"/>
        <w:jc w:val="both"/>
        <w:rPr>
          <w:rFonts w:ascii="Tahoma" w:hAnsi="Tahoma" w:cs="Tahoma"/>
          <w:b/>
          <w:bCs/>
          <w:sz w:val="20"/>
          <w:szCs w:val="20"/>
        </w:rPr>
      </w:pPr>
    </w:p>
    <w:p w14:paraId="0D66D6BD" w14:textId="34F6FCDF" w:rsidR="006E7001" w:rsidRPr="00B15171" w:rsidRDefault="00A8032F" w:rsidP="00B15171">
      <w:pPr>
        <w:pStyle w:val="Titolo2"/>
      </w:pPr>
      <w:bookmarkStart w:id="20" w:name="_Toc161309106"/>
      <w:r>
        <w:t>5</w:t>
      </w:r>
      <w:r w:rsidR="006E7001" w:rsidRPr="00B15171">
        <w:t xml:space="preserve">.3 La disciplina straordinaria delle perdite </w:t>
      </w:r>
      <w:r w:rsidR="008E6931" w:rsidRPr="00B15171">
        <w:t>per gli anni 2021 e 2022</w:t>
      </w:r>
      <w:bookmarkEnd w:id="20"/>
    </w:p>
    <w:p w14:paraId="12166006" w14:textId="6EB6B759" w:rsidR="000973CD" w:rsidRPr="00B15171" w:rsidRDefault="0026701C" w:rsidP="00B15171">
      <w:pPr>
        <w:spacing w:after="200" w:line="360" w:lineRule="auto"/>
        <w:jc w:val="both"/>
        <w:rPr>
          <w:rFonts w:ascii="Tahoma" w:hAnsi="Tahoma" w:cs="Tahoma"/>
          <w:sz w:val="20"/>
          <w:szCs w:val="20"/>
        </w:rPr>
      </w:pPr>
      <w:r w:rsidRPr="00B15171">
        <w:rPr>
          <w:rFonts w:ascii="Tahoma" w:hAnsi="Tahoma" w:cs="Tahoma"/>
          <w:sz w:val="20"/>
          <w:szCs w:val="20"/>
        </w:rPr>
        <w:t>In sede di conversione del c.d. Milleproroghe</w:t>
      </w:r>
      <w:r w:rsidR="008E6931" w:rsidRPr="00B15171">
        <w:rPr>
          <w:rFonts w:ascii="Tahoma" w:hAnsi="Tahoma" w:cs="Tahoma"/>
          <w:sz w:val="20"/>
          <w:szCs w:val="20"/>
        </w:rPr>
        <w:t xml:space="preserve"> 2022</w:t>
      </w:r>
      <w:r w:rsidRPr="00B15171">
        <w:rPr>
          <w:rFonts w:ascii="Tahoma" w:hAnsi="Tahoma" w:cs="Tahoma"/>
          <w:sz w:val="20"/>
          <w:szCs w:val="20"/>
        </w:rPr>
        <w:t>, la norma è stata riproposta, con la semplice sostituzione delle parole “31 dicembre 2020”, con le parole “31 dicembre 2021”.</w:t>
      </w:r>
    </w:p>
    <w:p w14:paraId="72A4CC23" w14:textId="4C1D9DBB" w:rsidR="008E6931" w:rsidRPr="00B15171" w:rsidRDefault="008E6931" w:rsidP="00B15171">
      <w:pPr>
        <w:spacing w:after="200" w:line="360" w:lineRule="auto"/>
        <w:jc w:val="both"/>
        <w:rPr>
          <w:rFonts w:ascii="Tahoma" w:hAnsi="Tahoma" w:cs="Tahoma"/>
          <w:sz w:val="20"/>
          <w:szCs w:val="20"/>
        </w:rPr>
      </w:pPr>
      <w:r w:rsidRPr="00B15171">
        <w:rPr>
          <w:rFonts w:ascii="Tahoma" w:hAnsi="Tahoma" w:cs="Tahoma"/>
          <w:sz w:val="20"/>
          <w:szCs w:val="20"/>
        </w:rPr>
        <w:t>Nel c.d. Milleproroghe 2023 le parole “31 dicembre 2021” sono state sostituite con le parole “31 dicembre 2022”</w:t>
      </w:r>
    </w:p>
    <w:p w14:paraId="58ED279F" w14:textId="00EBD20B" w:rsidR="006E7001" w:rsidRPr="00B15171" w:rsidRDefault="006E7001" w:rsidP="00B15171">
      <w:pPr>
        <w:spacing w:after="200" w:line="360" w:lineRule="auto"/>
        <w:jc w:val="both"/>
        <w:rPr>
          <w:rFonts w:ascii="Tahoma" w:hAnsi="Tahoma" w:cs="Tahoma"/>
          <w:sz w:val="20"/>
          <w:szCs w:val="20"/>
          <w:u w:val="single"/>
        </w:rPr>
      </w:pPr>
      <w:r w:rsidRPr="00B15171">
        <w:rPr>
          <w:rFonts w:ascii="Tahoma" w:hAnsi="Tahoma" w:cs="Tahoma"/>
          <w:sz w:val="20"/>
          <w:szCs w:val="20"/>
          <w:u w:val="single"/>
        </w:rPr>
        <w:t xml:space="preserve">Pertanto la disciplina di sospensione rileva anche per le perdite maturate </w:t>
      </w:r>
      <w:r w:rsidR="008E6931" w:rsidRPr="00B15171">
        <w:rPr>
          <w:rFonts w:ascii="Tahoma" w:hAnsi="Tahoma" w:cs="Tahoma"/>
          <w:sz w:val="20"/>
          <w:szCs w:val="20"/>
          <w:u w:val="single"/>
        </w:rPr>
        <w:t xml:space="preserve">negli esercizi </w:t>
      </w:r>
      <w:r w:rsidRPr="00B15171">
        <w:rPr>
          <w:rFonts w:ascii="Tahoma" w:hAnsi="Tahoma" w:cs="Tahoma"/>
          <w:sz w:val="20"/>
          <w:szCs w:val="20"/>
          <w:u w:val="single"/>
        </w:rPr>
        <w:t>2021</w:t>
      </w:r>
      <w:r w:rsidR="008E6931" w:rsidRPr="00B15171">
        <w:rPr>
          <w:rFonts w:ascii="Tahoma" w:hAnsi="Tahoma" w:cs="Tahoma"/>
          <w:sz w:val="20"/>
          <w:szCs w:val="20"/>
          <w:u w:val="single"/>
        </w:rPr>
        <w:t xml:space="preserve"> e 2022</w:t>
      </w:r>
      <w:r w:rsidRPr="00B15171">
        <w:rPr>
          <w:rFonts w:ascii="Tahoma" w:hAnsi="Tahoma" w:cs="Tahoma"/>
          <w:sz w:val="20"/>
          <w:szCs w:val="20"/>
          <w:u w:val="single"/>
        </w:rPr>
        <w:t>.</w:t>
      </w:r>
    </w:p>
    <w:p w14:paraId="3511FF82" w14:textId="4DC995DA" w:rsidR="008E6931" w:rsidRPr="00B15171" w:rsidRDefault="008E6931" w:rsidP="00B15171">
      <w:pPr>
        <w:spacing w:after="200" w:line="360" w:lineRule="auto"/>
        <w:jc w:val="both"/>
        <w:rPr>
          <w:rFonts w:ascii="Tahoma" w:hAnsi="Tahoma" w:cs="Tahoma"/>
          <w:sz w:val="20"/>
          <w:szCs w:val="20"/>
        </w:rPr>
      </w:pPr>
      <w:r w:rsidRPr="00B15171">
        <w:rPr>
          <w:rFonts w:ascii="Tahoma" w:hAnsi="Tahoma" w:cs="Tahoma"/>
          <w:sz w:val="20"/>
          <w:szCs w:val="20"/>
        </w:rPr>
        <w:t xml:space="preserve">Vediamo pertanto qual è </w:t>
      </w:r>
      <w:r w:rsidRPr="00B15171">
        <w:rPr>
          <w:rFonts w:ascii="Tahoma" w:hAnsi="Tahoma" w:cs="Tahoma"/>
          <w:b/>
          <w:bCs/>
          <w:sz w:val="20"/>
          <w:szCs w:val="20"/>
        </w:rPr>
        <w:t>la disciplina in relazione all’anno 2022</w:t>
      </w:r>
      <w:r w:rsidRPr="00B15171">
        <w:rPr>
          <w:rFonts w:ascii="Tahoma" w:hAnsi="Tahoma" w:cs="Tahoma"/>
          <w:sz w:val="20"/>
          <w:szCs w:val="20"/>
        </w:rPr>
        <w:t>.</w:t>
      </w:r>
    </w:p>
    <w:p w14:paraId="1E4EC29E" w14:textId="3B0C22C8" w:rsidR="0026701C" w:rsidRPr="000A5632" w:rsidRDefault="006E7001" w:rsidP="00B15171">
      <w:pPr>
        <w:spacing w:after="200" w:line="360" w:lineRule="auto"/>
        <w:jc w:val="both"/>
        <w:rPr>
          <w:rFonts w:ascii="Tahoma" w:hAnsi="Tahoma" w:cs="Tahoma"/>
          <w:sz w:val="20"/>
          <w:szCs w:val="20"/>
        </w:rPr>
      </w:pPr>
      <w:r w:rsidRPr="00B15171">
        <w:rPr>
          <w:rFonts w:ascii="Tahoma" w:hAnsi="Tahoma" w:cs="Tahoma"/>
          <w:sz w:val="20"/>
          <w:szCs w:val="20"/>
        </w:rPr>
        <w:t>Quindi, fermo restando tutto quanto già riportato in relazione all’annualità 2020,</w:t>
      </w:r>
      <w:r w:rsidR="0026701C" w:rsidRPr="00B15171">
        <w:rPr>
          <w:rFonts w:ascii="Tahoma" w:hAnsi="Tahoma" w:cs="Tahoma"/>
          <w:sz w:val="20"/>
          <w:szCs w:val="20"/>
        </w:rPr>
        <w:t xml:space="preserve"> per la situazione regolata dall’art. 2446 c.c. e 2482-</w:t>
      </w:r>
      <w:r w:rsidR="0026701C" w:rsidRPr="00B15171">
        <w:rPr>
          <w:rFonts w:ascii="Tahoma" w:hAnsi="Tahoma" w:cs="Tahoma"/>
          <w:i/>
          <w:iCs/>
          <w:sz w:val="20"/>
          <w:szCs w:val="20"/>
        </w:rPr>
        <w:t xml:space="preserve">bis c.c., </w:t>
      </w:r>
      <w:r w:rsidR="0026701C" w:rsidRPr="00B15171">
        <w:rPr>
          <w:rFonts w:ascii="Tahoma" w:hAnsi="Tahoma" w:cs="Tahoma"/>
          <w:sz w:val="20"/>
          <w:szCs w:val="20"/>
        </w:rPr>
        <w:t xml:space="preserve">e cioè </w:t>
      </w:r>
      <w:r w:rsidR="0026701C" w:rsidRPr="00B15171">
        <w:rPr>
          <w:rFonts w:ascii="Tahoma" w:hAnsi="Tahoma" w:cs="Tahoma"/>
          <w:b/>
          <w:bCs/>
          <w:sz w:val="20"/>
          <w:szCs w:val="20"/>
        </w:rPr>
        <w:t xml:space="preserve">perdita superiore al terzo del capitale </w:t>
      </w:r>
      <w:r w:rsidR="0026701C" w:rsidRPr="00B15171">
        <w:rPr>
          <w:rFonts w:ascii="Tahoma" w:hAnsi="Tahoma" w:cs="Tahoma"/>
          <w:sz w:val="20"/>
          <w:szCs w:val="20"/>
        </w:rPr>
        <w:t>si avrà:</w:t>
      </w:r>
    </w:p>
    <w:p w14:paraId="37D99037" w14:textId="5B9F2035" w:rsidR="006E7001" w:rsidRDefault="0026701C"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b/>
          <w:bCs/>
          <w:sz w:val="20"/>
          <w:szCs w:val="20"/>
        </w:rPr>
        <w:t>SENZA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000E2A42" w:rsidRPr="00B15171">
        <w:rPr>
          <w:rFonts w:ascii="Tahoma" w:hAnsi="Tahoma" w:cs="Tahoma"/>
          <w:sz w:val="20"/>
          <w:szCs w:val="20"/>
        </w:rPr>
        <w:t xml:space="preserve"> superiori al terzo del capitale</w:t>
      </w:r>
      <w:r w:rsidRPr="00B15171">
        <w:rPr>
          <w:rFonts w:ascii="Tahoma" w:hAnsi="Tahoma" w:cs="Tahoma"/>
          <w:sz w:val="20"/>
          <w:szCs w:val="20"/>
        </w:rPr>
        <w:t>)</w:t>
      </w:r>
    </w:p>
    <w:tbl>
      <w:tblPr>
        <w:tblStyle w:val="Grigliatabella"/>
        <w:tblW w:w="0" w:type="auto"/>
        <w:tblLook w:val="04A0" w:firstRow="1" w:lastRow="0" w:firstColumn="1" w:lastColumn="0" w:noHBand="0" w:noVBand="1"/>
      </w:tblPr>
      <w:tblGrid>
        <w:gridCol w:w="9628"/>
      </w:tblGrid>
      <w:tr w:rsidR="009208F3" w14:paraId="34A41E67" w14:textId="77777777" w:rsidTr="003B5138">
        <w:tc>
          <w:tcPr>
            <w:tcW w:w="9628" w:type="dxa"/>
          </w:tcPr>
          <w:p w14:paraId="28C4DD39" w14:textId="737FB6D4"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Capitale 99.000</w:t>
            </w:r>
          </w:p>
          <w:p w14:paraId="2367A4C8" w14:textId="5571C04F"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Perdita 2022: 35.000</w:t>
            </w:r>
          </w:p>
          <w:p w14:paraId="5A2954A9" w14:textId="1CE50298"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Termine entro il quale la perdita deve ridursi a meno di 33.000: 31/12/2023</w:t>
            </w:r>
          </w:p>
          <w:p w14:paraId="7EA1C696" w14:textId="7BAB2868" w:rsidR="009208F3" w:rsidRPr="009208F3" w:rsidRDefault="009208F3" w:rsidP="009208F3">
            <w:pPr>
              <w:pStyle w:val="Paragrafoelenco"/>
              <w:numPr>
                <w:ilvl w:val="0"/>
                <w:numId w:val="11"/>
              </w:numPr>
              <w:spacing w:before="60" w:after="60" w:line="326" w:lineRule="auto"/>
              <w:ind w:left="461"/>
              <w:rPr>
                <w:rFonts w:ascii="Tahoma" w:hAnsi="Tahoma" w:cs="Tahoma"/>
                <w:sz w:val="20"/>
                <w:szCs w:val="20"/>
              </w:rPr>
            </w:pPr>
            <w:r w:rsidRPr="009208F3">
              <w:rPr>
                <w:rFonts w:ascii="Tahoma" w:hAnsi="Tahoma" w:cs="Tahoma"/>
                <w:sz w:val="20"/>
                <w:szCs w:val="20"/>
              </w:rPr>
              <w:t>Altrimenti l’assemblea che approva il bilancio 2023 deve proporzionalmente ridurre il capitale</w:t>
            </w:r>
          </w:p>
          <w:p w14:paraId="703176B6" w14:textId="7A50C5CF" w:rsidR="009208F3" w:rsidRPr="009208F3" w:rsidRDefault="009208F3" w:rsidP="009208F3">
            <w:pPr>
              <w:pStyle w:val="Paragrafoelenco"/>
              <w:numPr>
                <w:ilvl w:val="0"/>
                <w:numId w:val="30"/>
              </w:numPr>
              <w:spacing w:before="60" w:after="60" w:line="326" w:lineRule="auto"/>
              <w:ind w:left="461"/>
              <w:rPr>
                <w:rFonts w:ascii="Tahoma" w:hAnsi="Tahoma" w:cs="Tahoma"/>
                <w:sz w:val="20"/>
                <w:szCs w:val="20"/>
              </w:rPr>
            </w:pPr>
            <w:r w:rsidRPr="009208F3">
              <w:rPr>
                <w:rFonts w:ascii="Tahoma" w:hAnsi="Tahoma" w:cs="Tahoma"/>
                <w:sz w:val="20"/>
                <w:szCs w:val="20"/>
              </w:rPr>
              <w:t>In mancanza interviene il Tribunale, sentito il Pubblico Ministero, su istanza di amministratori e sindaci</w:t>
            </w:r>
          </w:p>
        </w:tc>
      </w:tr>
    </w:tbl>
    <w:p w14:paraId="7ED5F0D3" w14:textId="77777777" w:rsidR="000A5632" w:rsidRDefault="000A5632" w:rsidP="00B15171">
      <w:pPr>
        <w:spacing w:after="200" w:line="360" w:lineRule="auto"/>
        <w:jc w:val="both"/>
        <w:rPr>
          <w:rFonts w:ascii="Tahoma" w:hAnsi="Tahoma" w:cs="Tahoma"/>
          <w:b/>
          <w:bCs/>
          <w:sz w:val="20"/>
          <w:szCs w:val="20"/>
        </w:rPr>
      </w:pPr>
    </w:p>
    <w:p w14:paraId="11C5FAB9" w14:textId="524D6985" w:rsidR="0026701C" w:rsidRDefault="0026701C" w:rsidP="00B15171">
      <w:pPr>
        <w:spacing w:after="200" w:line="360" w:lineRule="auto"/>
        <w:jc w:val="both"/>
        <w:rPr>
          <w:rFonts w:ascii="Tahoma" w:hAnsi="Tahoma" w:cs="Tahoma"/>
          <w:sz w:val="20"/>
          <w:szCs w:val="20"/>
        </w:rPr>
      </w:pPr>
      <w:r w:rsidRPr="00B15171">
        <w:rPr>
          <w:rFonts w:ascii="Tahoma" w:hAnsi="Tahoma" w:cs="Tahoma"/>
          <w:b/>
          <w:bCs/>
          <w:sz w:val="20"/>
          <w:szCs w:val="20"/>
        </w:rPr>
        <w:t>CON LA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000E2A42" w:rsidRPr="00B15171">
        <w:rPr>
          <w:rFonts w:ascii="Tahoma" w:hAnsi="Tahoma" w:cs="Tahoma"/>
          <w:sz w:val="20"/>
          <w:szCs w:val="20"/>
        </w:rPr>
        <w:t xml:space="preserve"> superiori al terzo del capitale</w:t>
      </w:r>
      <w:r w:rsidRPr="00B15171">
        <w:rPr>
          <w:rFonts w:ascii="Tahoma" w:hAnsi="Tahoma" w:cs="Tahoma"/>
          <w:sz w:val="20"/>
          <w:szCs w:val="20"/>
        </w:rPr>
        <w:t>)</w:t>
      </w:r>
    </w:p>
    <w:tbl>
      <w:tblPr>
        <w:tblStyle w:val="Grigliatabella"/>
        <w:tblW w:w="0" w:type="auto"/>
        <w:tblLook w:val="04A0" w:firstRow="1" w:lastRow="0" w:firstColumn="1" w:lastColumn="0" w:noHBand="0" w:noVBand="1"/>
      </w:tblPr>
      <w:tblGrid>
        <w:gridCol w:w="9628"/>
      </w:tblGrid>
      <w:tr w:rsidR="009208F3" w14:paraId="71345BC3" w14:textId="77777777" w:rsidTr="003B5138">
        <w:tc>
          <w:tcPr>
            <w:tcW w:w="9628" w:type="dxa"/>
          </w:tcPr>
          <w:p w14:paraId="389D90C1" w14:textId="3F3E6625" w:rsidR="009208F3" w:rsidRPr="009208F3" w:rsidRDefault="009208F3" w:rsidP="009208F3">
            <w:pPr>
              <w:pStyle w:val="Paragrafoelenco"/>
              <w:numPr>
                <w:ilvl w:val="0"/>
                <w:numId w:val="30"/>
              </w:numPr>
              <w:spacing w:before="60" w:after="60" w:line="326" w:lineRule="auto"/>
              <w:ind w:left="461"/>
              <w:rPr>
                <w:rFonts w:ascii="Tahoma" w:hAnsi="Tahoma" w:cs="Tahoma"/>
                <w:sz w:val="20"/>
                <w:szCs w:val="20"/>
              </w:rPr>
            </w:pPr>
            <w:r w:rsidRPr="009208F3">
              <w:rPr>
                <w:rFonts w:ascii="Tahoma" w:hAnsi="Tahoma" w:cs="Tahoma"/>
                <w:sz w:val="20"/>
                <w:szCs w:val="20"/>
              </w:rPr>
              <w:t>Capitale 99.000</w:t>
            </w:r>
          </w:p>
          <w:p w14:paraId="0FC6FDAE" w14:textId="79902CB0" w:rsidR="009208F3" w:rsidRPr="009208F3" w:rsidRDefault="009208F3" w:rsidP="009208F3">
            <w:pPr>
              <w:pStyle w:val="Paragrafoelenco"/>
              <w:numPr>
                <w:ilvl w:val="0"/>
                <w:numId w:val="30"/>
              </w:numPr>
              <w:spacing w:before="60" w:after="60" w:line="326" w:lineRule="auto"/>
              <w:ind w:left="461"/>
              <w:rPr>
                <w:rFonts w:ascii="Tahoma" w:hAnsi="Tahoma" w:cs="Tahoma"/>
                <w:sz w:val="20"/>
                <w:szCs w:val="20"/>
              </w:rPr>
            </w:pPr>
            <w:r w:rsidRPr="009208F3">
              <w:rPr>
                <w:rFonts w:ascii="Tahoma" w:hAnsi="Tahoma" w:cs="Tahoma"/>
                <w:sz w:val="20"/>
                <w:szCs w:val="20"/>
              </w:rPr>
              <w:t>Perdita 2022: 35.000</w:t>
            </w:r>
          </w:p>
          <w:p w14:paraId="5FFEAD36" w14:textId="0A4B73D0" w:rsidR="009208F3" w:rsidRPr="009208F3" w:rsidRDefault="009208F3" w:rsidP="009208F3">
            <w:pPr>
              <w:pStyle w:val="Paragrafoelenco"/>
              <w:numPr>
                <w:ilvl w:val="0"/>
                <w:numId w:val="30"/>
              </w:numPr>
              <w:spacing w:before="60" w:after="60" w:line="326" w:lineRule="auto"/>
              <w:ind w:left="461"/>
              <w:rPr>
                <w:rFonts w:ascii="Tahoma" w:hAnsi="Tahoma" w:cs="Tahoma"/>
                <w:sz w:val="20"/>
                <w:szCs w:val="20"/>
              </w:rPr>
            </w:pPr>
            <w:r w:rsidRPr="009208F3">
              <w:rPr>
                <w:rFonts w:ascii="Tahoma" w:hAnsi="Tahoma" w:cs="Tahoma"/>
                <w:sz w:val="20"/>
                <w:szCs w:val="20"/>
              </w:rPr>
              <w:t>Termine entro il quale la perdita deve ridursi a meno di 33.000: 31/12/2027</w:t>
            </w:r>
          </w:p>
          <w:p w14:paraId="4847E8E0" w14:textId="7AB752DD" w:rsidR="009208F3" w:rsidRPr="009208F3" w:rsidRDefault="009208F3" w:rsidP="009208F3">
            <w:pPr>
              <w:pStyle w:val="Paragrafoelenco"/>
              <w:numPr>
                <w:ilvl w:val="0"/>
                <w:numId w:val="30"/>
              </w:numPr>
              <w:spacing w:before="60" w:after="60" w:line="326" w:lineRule="auto"/>
              <w:ind w:left="461"/>
              <w:rPr>
                <w:rFonts w:ascii="Tahoma" w:hAnsi="Tahoma" w:cs="Tahoma"/>
                <w:sz w:val="20"/>
                <w:szCs w:val="20"/>
              </w:rPr>
            </w:pPr>
            <w:r w:rsidRPr="009208F3">
              <w:rPr>
                <w:rFonts w:ascii="Tahoma" w:hAnsi="Tahoma" w:cs="Tahoma"/>
                <w:sz w:val="20"/>
                <w:szCs w:val="20"/>
              </w:rPr>
              <w:t>Altrimenti l’assemblea che approva il bilancio 2027 deve proporzionalmente ridurre il capitale</w:t>
            </w:r>
          </w:p>
          <w:p w14:paraId="16024C43" w14:textId="36F0DDFA" w:rsidR="009208F3" w:rsidRPr="009208F3" w:rsidRDefault="009208F3" w:rsidP="009208F3">
            <w:pPr>
              <w:pStyle w:val="Paragrafoelenco"/>
              <w:numPr>
                <w:ilvl w:val="0"/>
                <w:numId w:val="30"/>
              </w:numPr>
              <w:spacing w:before="60" w:after="60" w:line="326" w:lineRule="auto"/>
              <w:ind w:left="461"/>
              <w:rPr>
                <w:rFonts w:ascii="Tahoma" w:hAnsi="Tahoma" w:cs="Tahoma"/>
                <w:sz w:val="20"/>
                <w:szCs w:val="20"/>
              </w:rPr>
            </w:pPr>
            <w:r w:rsidRPr="009208F3">
              <w:rPr>
                <w:rFonts w:ascii="Tahoma" w:hAnsi="Tahoma" w:cs="Tahoma"/>
                <w:sz w:val="20"/>
                <w:szCs w:val="20"/>
              </w:rPr>
              <w:lastRenderedPageBreak/>
              <w:t>In mancanza interviene il Tribunale, sentito il Pubblico Ministero, su istanza di amministratori e sindaci</w:t>
            </w:r>
          </w:p>
        </w:tc>
      </w:tr>
    </w:tbl>
    <w:p w14:paraId="3C1A4262" w14:textId="77777777" w:rsidR="009208F3" w:rsidRPr="000A5632" w:rsidRDefault="009208F3" w:rsidP="00B15171">
      <w:pPr>
        <w:spacing w:after="200" w:line="360" w:lineRule="auto"/>
        <w:jc w:val="both"/>
        <w:rPr>
          <w:rFonts w:ascii="Tahoma" w:hAnsi="Tahoma" w:cs="Tahoma"/>
          <w:sz w:val="20"/>
          <w:szCs w:val="20"/>
        </w:rPr>
      </w:pPr>
    </w:p>
    <w:p w14:paraId="4C036050" w14:textId="7084D9DE" w:rsidR="0026701C" w:rsidRPr="00B15171" w:rsidRDefault="0026701C" w:rsidP="000A5632">
      <w:pPr>
        <w:spacing w:after="200" w:line="360" w:lineRule="auto"/>
        <w:jc w:val="both"/>
        <w:rPr>
          <w:rFonts w:ascii="Tahoma" w:hAnsi="Tahoma" w:cs="Tahoma"/>
          <w:sz w:val="20"/>
          <w:szCs w:val="20"/>
        </w:rPr>
      </w:pPr>
      <w:r w:rsidRPr="00B15171">
        <w:rPr>
          <w:rFonts w:ascii="Tahoma" w:hAnsi="Tahoma" w:cs="Tahoma"/>
          <w:sz w:val="20"/>
          <w:szCs w:val="20"/>
        </w:rPr>
        <w:t>Per la situazione regolata dall’art. 2447 c.c. e 2482-</w:t>
      </w:r>
      <w:r w:rsidRPr="00B15171">
        <w:rPr>
          <w:rFonts w:ascii="Tahoma" w:hAnsi="Tahoma" w:cs="Tahoma"/>
          <w:i/>
          <w:iCs/>
          <w:sz w:val="20"/>
          <w:szCs w:val="20"/>
        </w:rPr>
        <w:t xml:space="preserve">ter c.c., </w:t>
      </w:r>
      <w:r w:rsidRPr="00B15171">
        <w:rPr>
          <w:rFonts w:ascii="Tahoma" w:hAnsi="Tahoma" w:cs="Tahoma"/>
          <w:sz w:val="20"/>
          <w:szCs w:val="20"/>
        </w:rPr>
        <w:t xml:space="preserve">e cioè </w:t>
      </w:r>
      <w:r w:rsidRPr="00B15171">
        <w:rPr>
          <w:rFonts w:ascii="Tahoma" w:hAnsi="Tahoma" w:cs="Tahoma"/>
          <w:b/>
          <w:bCs/>
          <w:sz w:val="20"/>
          <w:szCs w:val="20"/>
        </w:rPr>
        <w:t xml:space="preserve">perdita superiore al terzo del capitale che lo riduce al di sotto del minimo legale </w:t>
      </w:r>
      <w:r w:rsidRPr="00B15171">
        <w:rPr>
          <w:rFonts w:ascii="Tahoma" w:hAnsi="Tahoma" w:cs="Tahoma"/>
          <w:sz w:val="20"/>
          <w:szCs w:val="20"/>
        </w:rPr>
        <w:t>si avrà:</w:t>
      </w:r>
    </w:p>
    <w:p w14:paraId="0289EBDC" w14:textId="67F1DBD2" w:rsidR="00422E2D" w:rsidRDefault="0026701C"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b/>
          <w:bCs/>
          <w:sz w:val="20"/>
          <w:szCs w:val="20"/>
        </w:rPr>
        <w:t>SENZA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000E2A42" w:rsidRPr="00B15171">
        <w:rPr>
          <w:rFonts w:ascii="Tahoma" w:hAnsi="Tahoma" w:cs="Tahoma"/>
          <w:sz w:val="20"/>
          <w:szCs w:val="20"/>
        </w:rPr>
        <w:t xml:space="preserve"> superiori al terzo del capitale e che lo riducono al di sotto del minimo legale</w:t>
      </w:r>
      <w:r w:rsidRPr="00B15171">
        <w:rPr>
          <w:rFonts w:ascii="Tahoma" w:hAnsi="Tahoma" w:cs="Tahoma"/>
          <w:sz w:val="20"/>
          <w:szCs w:val="20"/>
        </w:rPr>
        <w:t>)</w:t>
      </w:r>
    </w:p>
    <w:tbl>
      <w:tblPr>
        <w:tblStyle w:val="Grigliatabella"/>
        <w:tblW w:w="0" w:type="auto"/>
        <w:tblLook w:val="04A0" w:firstRow="1" w:lastRow="0" w:firstColumn="1" w:lastColumn="0" w:noHBand="0" w:noVBand="1"/>
      </w:tblPr>
      <w:tblGrid>
        <w:gridCol w:w="9628"/>
      </w:tblGrid>
      <w:tr w:rsidR="00422E2D" w14:paraId="5640E97A" w14:textId="77777777" w:rsidTr="00422E2D">
        <w:tc>
          <w:tcPr>
            <w:tcW w:w="9628" w:type="dxa"/>
          </w:tcPr>
          <w:p w14:paraId="38CCA62A" w14:textId="22C60302" w:rsidR="00422E2D" w:rsidRPr="00422E2D" w:rsidRDefault="00422E2D" w:rsidP="00422E2D">
            <w:pPr>
              <w:pStyle w:val="Paragrafoelenco"/>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59" w:hanging="357"/>
              <w:rPr>
                <w:rFonts w:ascii="Tahoma" w:hAnsi="Tahoma" w:cs="Tahoma"/>
                <w:sz w:val="20"/>
                <w:szCs w:val="20"/>
              </w:rPr>
            </w:pPr>
            <w:r w:rsidRPr="00422E2D">
              <w:rPr>
                <w:rFonts w:ascii="Tahoma" w:hAnsi="Tahoma" w:cs="Tahoma"/>
                <w:sz w:val="20"/>
                <w:szCs w:val="20"/>
              </w:rPr>
              <w:t>Capitale 99.000</w:t>
            </w:r>
          </w:p>
          <w:p w14:paraId="1E0F629D" w14:textId="6C1BD06F" w:rsidR="00422E2D" w:rsidRPr="00422E2D" w:rsidRDefault="00422E2D" w:rsidP="00422E2D">
            <w:pPr>
              <w:pStyle w:val="Paragrafoelenco"/>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59" w:hanging="357"/>
              <w:rPr>
                <w:rFonts w:ascii="Tahoma" w:hAnsi="Tahoma" w:cs="Tahoma"/>
                <w:sz w:val="20"/>
                <w:szCs w:val="20"/>
              </w:rPr>
            </w:pPr>
            <w:r w:rsidRPr="00422E2D">
              <w:rPr>
                <w:rFonts w:ascii="Tahoma" w:hAnsi="Tahoma" w:cs="Tahoma"/>
                <w:sz w:val="20"/>
                <w:szCs w:val="20"/>
              </w:rPr>
              <w:t>Perdita 2022: 95.000</w:t>
            </w:r>
          </w:p>
          <w:p w14:paraId="4F46F434" w14:textId="12797E4C" w:rsidR="00422E2D" w:rsidRPr="00422E2D" w:rsidRDefault="00422E2D" w:rsidP="00422E2D">
            <w:pPr>
              <w:pStyle w:val="Paragrafoelenco"/>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59" w:hanging="357"/>
              <w:rPr>
                <w:rFonts w:ascii="Tahoma" w:hAnsi="Tahoma" w:cs="Tahoma"/>
                <w:sz w:val="20"/>
                <w:szCs w:val="20"/>
              </w:rPr>
            </w:pPr>
            <w:r w:rsidRPr="00422E2D">
              <w:rPr>
                <w:rFonts w:ascii="Tahoma" w:hAnsi="Tahoma" w:cs="Tahoma"/>
                <w:sz w:val="20"/>
                <w:szCs w:val="20"/>
              </w:rPr>
              <w:t>Termine entro il quale la perdita deve esser coperta ed il capitale riportato almeno al minimo: assemblea da convocare senza indugio</w:t>
            </w:r>
          </w:p>
          <w:p w14:paraId="1F247FA0" w14:textId="19054C9D" w:rsidR="00422E2D" w:rsidRPr="00422E2D" w:rsidRDefault="00422E2D" w:rsidP="00422E2D">
            <w:pPr>
              <w:pStyle w:val="Paragrafoelenco"/>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59" w:hanging="357"/>
              <w:rPr>
                <w:rFonts w:ascii="Tahoma" w:hAnsi="Tahoma" w:cs="Tahoma"/>
                <w:sz w:val="20"/>
                <w:szCs w:val="20"/>
              </w:rPr>
            </w:pPr>
            <w:r w:rsidRPr="00422E2D">
              <w:rPr>
                <w:rFonts w:ascii="Tahoma" w:hAnsi="Tahoma" w:cs="Tahoma"/>
                <w:sz w:val="20"/>
                <w:szCs w:val="20"/>
              </w:rPr>
              <w:t>Altrimenti l’assemblea delibera la trasformazione della società</w:t>
            </w:r>
          </w:p>
        </w:tc>
      </w:tr>
    </w:tbl>
    <w:p w14:paraId="3489569F" w14:textId="77777777" w:rsidR="00422E2D" w:rsidRDefault="00422E2D"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b/>
          <w:bCs/>
          <w:sz w:val="20"/>
          <w:szCs w:val="20"/>
        </w:rPr>
      </w:pPr>
    </w:p>
    <w:p w14:paraId="6B86DAED" w14:textId="046F151B" w:rsidR="00146924" w:rsidRDefault="000E2A42" w:rsidP="00B1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rPr>
          <w:rFonts w:ascii="Tahoma" w:hAnsi="Tahoma" w:cs="Tahoma"/>
          <w:sz w:val="20"/>
          <w:szCs w:val="20"/>
        </w:rPr>
      </w:pPr>
      <w:r w:rsidRPr="00B15171">
        <w:rPr>
          <w:rFonts w:ascii="Tahoma" w:hAnsi="Tahoma" w:cs="Tahoma"/>
          <w:b/>
          <w:bCs/>
          <w:sz w:val="20"/>
          <w:szCs w:val="20"/>
        </w:rPr>
        <w:t>CON LA</w:t>
      </w:r>
      <w:r w:rsidRPr="00B15171">
        <w:rPr>
          <w:rFonts w:ascii="Tahoma" w:hAnsi="Tahoma" w:cs="Tahoma"/>
          <w:sz w:val="20"/>
          <w:szCs w:val="20"/>
        </w:rPr>
        <w:t xml:space="preserve"> SOSPENSIONE (PERDITE 202</w:t>
      </w:r>
      <w:r w:rsidR="008E6931" w:rsidRPr="00B15171">
        <w:rPr>
          <w:rFonts w:ascii="Tahoma" w:hAnsi="Tahoma" w:cs="Tahoma"/>
          <w:sz w:val="20"/>
          <w:szCs w:val="20"/>
        </w:rPr>
        <w:t>2</w:t>
      </w:r>
      <w:r w:rsidRPr="00B15171">
        <w:rPr>
          <w:rFonts w:ascii="Tahoma" w:hAnsi="Tahoma" w:cs="Tahoma"/>
          <w:sz w:val="20"/>
          <w:szCs w:val="20"/>
        </w:rPr>
        <w:t xml:space="preserve"> superiori al terzo del capitale e che lo riducono al di sotto del minimo legale)</w:t>
      </w:r>
    </w:p>
    <w:tbl>
      <w:tblPr>
        <w:tblStyle w:val="Grigliatabella"/>
        <w:tblW w:w="0" w:type="auto"/>
        <w:tblLook w:val="04A0" w:firstRow="1" w:lastRow="0" w:firstColumn="1" w:lastColumn="0" w:noHBand="0" w:noVBand="1"/>
      </w:tblPr>
      <w:tblGrid>
        <w:gridCol w:w="9628"/>
      </w:tblGrid>
      <w:tr w:rsidR="009208F3" w14:paraId="1F6E73E8" w14:textId="77777777" w:rsidTr="009208F3">
        <w:tc>
          <w:tcPr>
            <w:tcW w:w="9628" w:type="dxa"/>
          </w:tcPr>
          <w:p w14:paraId="0A471475" w14:textId="19E1D9F0" w:rsidR="009208F3" w:rsidRPr="009208F3" w:rsidRDefault="009208F3" w:rsidP="009208F3">
            <w:pPr>
              <w:pStyle w:val="Paragrafoelenco"/>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61"/>
              <w:rPr>
                <w:rFonts w:ascii="Tahoma" w:hAnsi="Tahoma" w:cs="Tahoma"/>
                <w:sz w:val="20"/>
                <w:szCs w:val="20"/>
              </w:rPr>
            </w:pPr>
            <w:r w:rsidRPr="009208F3">
              <w:rPr>
                <w:rFonts w:ascii="Tahoma" w:hAnsi="Tahoma" w:cs="Tahoma"/>
                <w:sz w:val="20"/>
                <w:szCs w:val="20"/>
              </w:rPr>
              <w:t>Capitale 99.000</w:t>
            </w:r>
          </w:p>
          <w:p w14:paraId="63E88C1E" w14:textId="0CC4F1E5" w:rsidR="009208F3" w:rsidRPr="009208F3" w:rsidRDefault="009208F3" w:rsidP="009208F3">
            <w:pPr>
              <w:pStyle w:val="Paragrafoelenco"/>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61"/>
              <w:rPr>
                <w:rFonts w:ascii="Tahoma" w:hAnsi="Tahoma" w:cs="Tahoma"/>
                <w:sz w:val="20"/>
                <w:szCs w:val="20"/>
              </w:rPr>
            </w:pPr>
            <w:r w:rsidRPr="009208F3">
              <w:rPr>
                <w:rFonts w:ascii="Tahoma" w:hAnsi="Tahoma" w:cs="Tahoma"/>
                <w:sz w:val="20"/>
                <w:szCs w:val="20"/>
              </w:rPr>
              <w:t>Perdita 2022: 95.000</w:t>
            </w:r>
          </w:p>
          <w:p w14:paraId="6B543CE7" w14:textId="2A55DC9F" w:rsidR="009208F3" w:rsidRPr="009208F3" w:rsidRDefault="009208F3" w:rsidP="009208F3">
            <w:pPr>
              <w:pStyle w:val="Paragrafoelenco"/>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61"/>
              <w:rPr>
                <w:rFonts w:ascii="Tahoma" w:hAnsi="Tahoma" w:cs="Tahoma"/>
                <w:sz w:val="20"/>
                <w:szCs w:val="20"/>
              </w:rPr>
            </w:pPr>
            <w:r w:rsidRPr="009208F3">
              <w:rPr>
                <w:rFonts w:ascii="Tahoma" w:hAnsi="Tahoma" w:cs="Tahoma"/>
                <w:sz w:val="20"/>
                <w:szCs w:val="20"/>
              </w:rPr>
              <w:t>L’assemblea deve esser convocata senza indugio</w:t>
            </w:r>
          </w:p>
          <w:p w14:paraId="19B15A3D" w14:textId="76742493" w:rsidR="009208F3" w:rsidRPr="009208F3" w:rsidRDefault="009208F3" w:rsidP="009208F3">
            <w:pPr>
              <w:pStyle w:val="Paragrafoelenco"/>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61"/>
              <w:rPr>
                <w:rFonts w:ascii="Tahoma" w:hAnsi="Tahoma" w:cs="Tahoma"/>
                <w:sz w:val="20"/>
                <w:szCs w:val="20"/>
              </w:rPr>
            </w:pPr>
            <w:r w:rsidRPr="009208F3">
              <w:rPr>
                <w:rFonts w:ascii="Tahoma" w:hAnsi="Tahoma" w:cs="Tahoma"/>
                <w:sz w:val="20"/>
                <w:szCs w:val="20"/>
              </w:rPr>
              <w:t>La causa di scioglimento per riduzione del capitale al di sotto nel minimo legale non opera fino all’assemblea di approvazione del bilancio 2027</w:t>
            </w:r>
          </w:p>
          <w:p w14:paraId="43DF946D" w14:textId="47F663CA" w:rsidR="009208F3" w:rsidRPr="009208F3" w:rsidRDefault="009208F3" w:rsidP="009208F3">
            <w:pPr>
              <w:pStyle w:val="Paragrafoelenco"/>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61"/>
              <w:rPr>
                <w:rFonts w:ascii="Tahoma" w:hAnsi="Tahoma" w:cs="Tahoma"/>
                <w:sz w:val="20"/>
                <w:szCs w:val="20"/>
              </w:rPr>
            </w:pPr>
            <w:r w:rsidRPr="009208F3">
              <w:rPr>
                <w:rFonts w:ascii="Tahoma" w:hAnsi="Tahoma" w:cs="Tahoma"/>
                <w:sz w:val="20"/>
                <w:szCs w:val="20"/>
              </w:rPr>
              <w:t>La delibera di riduzione del capitale per perdite e contestuale incremento fino al minimo legale: entro la chiusura dell’esercizio 2027</w:t>
            </w:r>
          </w:p>
          <w:p w14:paraId="47C3039D" w14:textId="734DF143" w:rsidR="009208F3" w:rsidRPr="009208F3" w:rsidRDefault="009208F3" w:rsidP="009208F3">
            <w:pPr>
              <w:pStyle w:val="Paragrafoelenco"/>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326" w:lineRule="auto"/>
              <w:ind w:left="461"/>
              <w:rPr>
                <w:rFonts w:ascii="Tahoma" w:hAnsi="Tahoma" w:cs="Tahoma"/>
                <w:sz w:val="20"/>
                <w:szCs w:val="20"/>
              </w:rPr>
            </w:pPr>
            <w:r w:rsidRPr="009208F3">
              <w:rPr>
                <w:rFonts w:ascii="Tahoma" w:hAnsi="Tahoma" w:cs="Tahoma"/>
                <w:sz w:val="20"/>
                <w:szCs w:val="20"/>
              </w:rPr>
              <w:t>•</w:t>
            </w:r>
            <w:r w:rsidRPr="009208F3">
              <w:rPr>
                <w:rFonts w:ascii="Tahoma" w:hAnsi="Tahoma" w:cs="Tahoma"/>
                <w:sz w:val="20"/>
                <w:szCs w:val="20"/>
              </w:rPr>
              <w:tab/>
              <w:t>Deliberazioni (con eventuale decisione per la trasformazione della società): assemblea che approva il bilancio 2027</w:t>
            </w:r>
          </w:p>
        </w:tc>
      </w:tr>
    </w:tbl>
    <w:p w14:paraId="6D4123D0" w14:textId="77777777" w:rsidR="009208F3" w:rsidRDefault="009208F3" w:rsidP="00B15171">
      <w:pPr>
        <w:spacing w:after="200" w:line="360" w:lineRule="auto"/>
        <w:jc w:val="both"/>
        <w:rPr>
          <w:rFonts w:ascii="Tahoma" w:hAnsi="Tahoma" w:cs="Tahoma"/>
          <w:sz w:val="20"/>
          <w:szCs w:val="20"/>
        </w:rPr>
      </w:pPr>
    </w:p>
    <w:p w14:paraId="50EB8063" w14:textId="141463B0" w:rsidR="0010472F" w:rsidRPr="00B15171" w:rsidRDefault="00073062" w:rsidP="00B15171">
      <w:pPr>
        <w:spacing w:after="200" w:line="360" w:lineRule="auto"/>
        <w:jc w:val="both"/>
        <w:rPr>
          <w:rFonts w:ascii="Tahoma" w:hAnsi="Tahoma" w:cs="Tahoma"/>
          <w:sz w:val="20"/>
          <w:szCs w:val="20"/>
        </w:rPr>
      </w:pPr>
      <w:r w:rsidRPr="00B15171">
        <w:rPr>
          <w:rFonts w:ascii="Tahoma" w:hAnsi="Tahoma" w:cs="Tahoma"/>
          <w:sz w:val="20"/>
          <w:szCs w:val="20"/>
        </w:rPr>
        <w:t xml:space="preserve">Pertanto, per quel che concerne il bilancio </w:t>
      </w:r>
      <w:r w:rsidR="008E6931" w:rsidRPr="00B15171">
        <w:rPr>
          <w:rFonts w:ascii="Tahoma" w:hAnsi="Tahoma" w:cs="Tahoma"/>
          <w:sz w:val="20"/>
          <w:szCs w:val="20"/>
        </w:rPr>
        <w:t>2022</w:t>
      </w:r>
      <w:r w:rsidRPr="00B15171">
        <w:rPr>
          <w:rFonts w:ascii="Tahoma" w:hAnsi="Tahoma" w:cs="Tahoma"/>
          <w:sz w:val="20"/>
          <w:szCs w:val="20"/>
        </w:rPr>
        <w:t>, occorre innanzitutto verificare le informative che possono essere date in bilancio.</w:t>
      </w:r>
    </w:p>
    <w:p w14:paraId="7F6E936D" w14:textId="0A2B5EFE" w:rsidR="004916EA" w:rsidRPr="00B15171" w:rsidRDefault="004916EA" w:rsidP="00B15171">
      <w:pPr>
        <w:spacing w:after="200" w:line="360" w:lineRule="auto"/>
        <w:jc w:val="both"/>
        <w:rPr>
          <w:rFonts w:ascii="Tahoma" w:hAnsi="Tahoma" w:cs="Tahoma"/>
          <w:sz w:val="20"/>
          <w:szCs w:val="20"/>
        </w:rPr>
      </w:pPr>
      <w:r w:rsidRPr="00B15171">
        <w:rPr>
          <w:rFonts w:ascii="Tahoma" w:hAnsi="Tahoma" w:cs="Tahoma"/>
          <w:sz w:val="20"/>
          <w:szCs w:val="20"/>
        </w:rPr>
        <w:t>Il prospetto per il bilancio 202</w:t>
      </w:r>
      <w:r w:rsidR="008E6931" w:rsidRPr="00B15171">
        <w:rPr>
          <w:rFonts w:ascii="Tahoma" w:hAnsi="Tahoma" w:cs="Tahoma"/>
          <w:sz w:val="20"/>
          <w:szCs w:val="20"/>
        </w:rPr>
        <w:t>2</w:t>
      </w:r>
      <w:r w:rsidR="00146924" w:rsidRPr="00B15171">
        <w:rPr>
          <w:rFonts w:ascii="Tahoma" w:hAnsi="Tahoma" w:cs="Tahoma"/>
          <w:sz w:val="20"/>
          <w:szCs w:val="20"/>
        </w:rPr>
        <w:t xml:space="preserve">, che deve comunque considerare anche le perdite 2020 e 2021, </w:t>
      </w:r>
      <w:r w:rsidRPr="00B15171">
        <w:rPr>
          <w:rFonts w:ascii="Tahoma" w:hAnsi="Tahoma" w:cs="Tahoma"/>
          <w:sz w:val="20"/>
          <w:szCs w:val="20"/>
        </w:rPr>
        <w:t>potrebbe essere il seguente:</w:t>
      </w:r>
    </w:p>
    <w:p w14:paraId="501AC737" w14:textId="699AA391" w:rsidR="004916EA" w:rsidRPr="00B15171" w:rsidRDefault="004916EA" w:rsidP="00B15171">
      <w:pPr>
        <w:spacing w:after="200" w:line="360" w:lineRule="auto"/>
        <w:jc w:val="both"/>
        <w:rPr>
          <w:rFonts w:ascii="Tahoma" w:hAnsi="Tahoma" w:cs="Tahoma"/>
          <w:sz w:val="20"/>
          <w:szCs w:val="20"/>
        </w:rPr>
      </w:pPr>
    </w:p>
    <w:p w14:paraId="2D4FA338" w14:textId="77777777" w:rsidR="000A5632" w:rsidRDefault="000A5632">
      <w:pPr>
        <w:spacing w:after="160" w:line="259" w:lineRule="auto"/>
        <w:rPr>
          <w:rFonts w:ascii="Tahoma" w:hAnsi="Tahoma" w:cs="Tahoma"/>
          <w:b/>
          <w:bCs/>
          <w:sz w:val="20"/>
          <w:szCs w:val="20"/>
        </w:rPr>
      </w:pPr>
      <w:r>
        <w:rPr>
          <w:rFonts w:ascii="Tahoma" w:hAnsi="Tahoma" w:cs="Tahoma"/>
          <w:b/>
          <w:bCs/>
          <w:sz w:val="20"/>
          <w:szCs w:val="20"/>
        </w:rPr>
        <w:br w:type="page"/>
      </w:r>
    </w:p>
    <w:p w14:paraId="7934398F" w14:textId="3D81881D" w:rsidR="006E7001" w:rsidRPr="00B15171" w:rsidRDefault="006E7001" w:rsidP="00B15171">
      <w:pPr>
        <w:spacing w:after="200" w:line="360" w:lineRule="auto"/>
        <w:jc w:val="both"/>
        <w:rPr>
          <w:rFonts w:ascii="Tahoma" w:hAnsi="Tahoma" w:cs="Tahoma"/>
          <w:b/>
          <w:bCs/>
          <w:sz w:val="20"/>
          <w:szCs w:val="20"/>
        </w:rPr>
      </w:pPr>
      <w:r w:rsidRPr="00B15171">
        <w:rPr>
          <w:rFonts w:ascii="Tahoma" w:hAnsi="Tahoma" w:cs="Tahoma"/>
          <w:b/>
          <w:bCs/>
          <w:sz w:val="20"/>
          <w:szCs w:val="20"/>
        </w:rPr>
        <w:lastRenderedPageBreak/>
        <w:t>I Ipotesi: utile del 202</w:t>
      </w:r>
      <w:r w:rsidR="008E6931" w:rsidRPr="00B15171">
        <w:rPr>
          <w:rFonts w:ascii="Tahoma" w:hAnsi="Tahoma" w:cs="Tahoma"/>
          <w:b/>
          <w:bCs/>
          <w:sz w:val="20"/>
          <w:szCs w:val="20"/>
        </w:rPr>
        <w:t>1</w:t>
      </w:r>
      <w:r w:rsidRPr="00B15171">
        <w:rPr>
          <w:rFonts w:ascii="Tahoma" w:hAnsi="Tahoma" w:cs="Tahoma"/>
          <w:b/>
          <w:bCs/>
          <w:sz w:val="20"/>
          <w:szCs w:val="20"/>
        </w:rPr>
        <w:t xml:space="preserve"> che copre parzialmente la perdita dell’esercizio 202</w:t>
      </w:r>
      <w:r w:rsidR="008E6931" w:rsidRPr="00B15171">
        <w:rPr>
          <w:rFonts w:ascii="Tahoma" w:hAnsi="Tahoma" w:cs="Tahoma"/>
          <w:b/>
          <w:bCs/>
          <w:sz w:val="20"/>
          <w:szCs w:val="20"/>
        </w:rPr>
        <w:t>0</w:t>
      </w:r>
    </w:p>
    <w:p w14:paraId="2A267392" w14:textId="00160209" w:rsidR="004916EA" w:rsidRPr="000A5632"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 xml:space="preserve">Prospetto art. 6, comma 5  DL 23/2020, </w:t>
      </w:r>
      <w:proofErr w:type="spellStart"/>
      <w:r w:rsidRPr="00B15171">
        <w:rPr>
          <w:rFonts w:ascii="Tahoma" w:hAnsi="Tahoma" w:cs="Tahoma"/>
          <w:b/>
          <w:sz w:val="20"/>
          <w:szCs w:val="20"/>
        </w:rPr>
        <w:t>conv</w:t>
      </w:r>
      <w:proofErr w:type="spellEnd"/>
      <w:r w:rsidRPr="00B15171">
        <w:rPr>
          <w:rFonts w:ascii="Tahoma" w:hAnsi="Tahoma" w:cs="Tahoma"/>
          <w:b/>
          <w:sz w:val="20"/>
          <w:szCs w:val="20"/>
        </w:rPr>
        <w:t xml:space="preserve"> da L. 40/2020, come modificato dal comma 266 dell’art. 1 della L. 31 dicembre 2020, n. 178</w:t>
      </w:r>
    </w:p>
    <w:p w14:paraId="65E14D85" w14:textId="229220C0"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dell’esercizio 202</w:t>
      </w:r>
      <w:r w:rsidR="008E6931" w:rsidRPr="00B15171">
        <w:rPr>
          <w:rFonts w:ascii="Tahoma" w:hAnsi="Tahoma" w:cs="Tahoma"/>
          <w:sz w:val="20"/>
          <w:szCs w:val="20"/>
        </w:rPr>
        <w:t>0</w:t>
      </w:r>
      <w:r w:rsidR="00FF27DD" w:rsidRPr="00B15171">
        <w:rPr>
          <w:rFonts w:ascii="Tahoma" w:hAnsi="Tahoma" w:cs="Tahoma"/>
          <w:sz w:val="20"/>
          <w:szCs w:val="20"/>
        </w:rPr>
        <w:t>: 1000</w:t>
      </w:r>
    </w:p>
    <w:p w14:paraId="0F67E38D" w14:textId="6758B3F0" w:rsidR="00132210" w:rsidRPr="00B15171" w:rsidRDefault="008E693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Utile esercizio 2021: 500</w:t>
      </w:r>
    </w:p>
    <w:p w14:paraId="1F9151D8" w14:textId="77777777"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Le perdite dell’esercizio 2020 deriva</w:t>
      </w:r>
      <w:r w:rsidR="0062593B" w:rsidRPr="00B15171">
        <w:rPr>
          <w:rFonts w:ascii="Tahoma" w:hAnsi="Tahoma" w:cs="Tahoma"/>
          <w:sz w:val="20"/>
          <w:szCs w:val="20"/>
        </w:rPr>
        <w:t>va</w:t>
      </w:r>
      <w:r w:rsidRPr="00B15171">
        <w:rPr>
          <w:rFonts w:ascii="Tahoma" w:hAnsi="Tahoma" w:cs="Tahoma"/>
          <w:sz w:val="20"/>
          <w:szCs w:val="20"/>
        </w:rPr>
        <w:t>no dalle difficoltà incontrate dalla società, operante nel settore della ristorazione, nel corso dell’esercizio, a causa della forzata chiusu</w:t>
      </w:r>
      <w:r w:rsidR="0062593B" w:rsidRPr="00B15171">
        <w:rPr>
          <w:rFonts w:ascii="Tahoma" w:hAnsi="Tahoma" w:cs="Tahoma"/>
          <w:sz w:val="20"/>
          <w:szCs w:val="20"/>
        </w:rPr>
        <w:t xml:space="preserve">ra nei mesi di marzo ed aprile </w:t>
      </w:r>
      <w:r w:rsidRPr="00B15171">
        <w:rPr>
          <w:rFonts w:ascii="Tahoma" w:hAnsi="Tahoma" w:cs="Tahoma"/>
          <w:sz w:val="20"/>
          <w:szCs w:val="20"/>
        </w:rPr>
        <w:t>e dalla chiusura alle ore 18.00 a far data dal mese di novembre. Gli importi a ristoro pervenuti sono riusciti solo ad attutire l’impatto della pesantissima perdita di fatturato.</w:t>
      </w:r>
    </w:p>
    <w:p w14:paraId="24FD9919" w14:textId="4AC9FDCA"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Nel corso del 2021 il risultato positivo </w:t>
      </w:r>
      <w:r w:rsidR="00924FED" w:rsidRPr="00B15171">
        <w:rPr>
          <w:rFonts w:ascii="Tahoma" w:hAnsi="Tahoma" w:cs="Tahoma"/>
          <w:sz w:val="20"/>
          <w:szCs w:val="20"/>
        </w:rPr>
        <w:t xml:space="preserve">di </w:t>
      </w:r>
      <w:r w:rsidR="008E6931" w:rsidRPr="00B15171">
        <w:rPr>
          <w:rFonts w:ascii="Tahoma" w:hAnsi="Tahoma" w:cs="Tahoma"/>
          <w:sz w:val="20"/>
          <w:szCs w:val="20"/>
        </w:rPr>
        <w:t>5</w:t>
      </w:r>
      <w:r w:rsidR="00924FED" w:rsidRPr="00B15171">
        <w:rPr>
          <w:rFonts w:ascii="Tahoma" w:hAnsi="Tahoma" w:cs="Tahoma"/>
          <w:sz w:val="20"/>
          <w:szCs w:val="20"/>
        </w:rPr>
        <w:t xml:space="preserve">00 </w:t>
      </w:r>
      <w:r w:rsidRPr="00B15171">
        <w:rPr>
          <w:rFonts w:ascii="Tahoma" w:hAnsi="Tahoma" w:cs="Tahoma"/>
          <w:sz w:val="20"/>
          <w:szCs w:val="20"/>
        </w:rPr>
        <w:t xml:space="preserve">ha comportato la possibilità di destinare gli utili alla </w:t>
      </w:r>
      <w:r w:rsidR="008E6931" w:rsidRPr="00B15171">
        <w:rPr>
          <w:rFonts w:ascii="Tahoma" w:hAnsi="Tahoma" w:cs="Tahoma"/>
          <w:sz w:val="20"/>
          <w:szCs w:val="20"/>
        </w:rPr>
        <w:t xml:space="preserve">parziale </w:t>
      </w:r>
      <w:r w:rsidRPr="00B15171">
        <w:rPr>
          <w:rFonts w:ascii="Tahoma" w:hAnsi="Tahoma" w:cs="Tahoma"/>
          <w:sz w:val="20"/>
          <w:szCs w:val="20"/>
        </w:rPr>
        <w:t>copertura perdita del 2020.</w:t>
      </w:r>
    </w:p>
    <w:p w14:paraId="421A0B12" w14:textId="4F86B40F" w:rsidR="008E6931" w:rsidRPr="00B15171" w:rsidRDefault="008E693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Pertanto in sede di destinazione del risultato 2021 è stata operata la parziale copertura.</w:t>
      </w:r>
    </w:p>
    <w:p w14:paraId="4E223EB9" w14:textId="50FBDF85" w:rsidR="004916EA" w:rsidRPr="000A5632" w:rsidRDefault="004916EA"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Il prospetto delle movimentazioni </w:t>
      </w:r>
      <w:r w:rsidR="00146924" w:rsidRPr="00B15171">
        <w:rPr>
          <w:rFonts w:ascii="Tahoma" w:hAnsi="Tahoma" w:cs="Tahoma"/>
          <w:sz w:val="20"/>
          <w:szCs w:val="20"/>
        </w:rPr>
        <w:t xml:space="preserve">per l’anno 2022 </w:t>
      </w:r>
      <w:r w:rsidRPr="00B15171">
        <w:rPr>
          <w:rFonts w:ascii="Tahoma" w:hAnsi="Tahoma" w:cs="Tahoma"/>
          <w:sz w:val="20"/>
          <w:szCs w:val="20"/>
        </w:rPr>
        <w:t>è il seguente:</w:t>
      </w:r>
    </w:p>
    <w:p w14:paraId="12CD1D18" w14:textId="23F18FB4" w:rsidR="004916EA" w:rsidRPr="00B15171" w:rsidRDefault="004916EA" w:rsidP="00B15171">
      <w:pPr>
        <w:pBdr>
          <w:top w:val="single" w:sz="4" w:space="1" w:color="auto"/>
          <w:left w:val="single" w:sz="4" w:space="4" w:color="auto"/>
          <w:bottom w:val="single" w:sz="4" w:space="1" w:color="auto"/>
          <w:right w:val="single" w:sz="4" w:space="4" w:color="auto"/>
        </w:pBdr>
        <w:spacing w:after="200" w:line="360" w:lineRule="auto"/>
        <w:ind w:firstLine="708"/>
        <w:jc w:val="both"/>
        <w:rPr>
          <w:rFonts w:ascii="Tahoma" w:hAnsi="Tahoma" w:cs="Tahoma"/>
          <w:sz w:val="20"/>
          <w:szCs w:val="20"/>
        </w:rPr>
      </w:pPr>
      <w:r w:rsidRPr="00B15171">
        <w:rPr>
          <w:rFonts w:ascii="Tahoma" w:hAnsi="Tahoma" w:cs="Tahoma"/>
          <w:sz w:val="20"/>
          <w:szCs w:val="20"/>
        </w:rPr>
        <w:t xml:space="preserve">                      Perdita all’1/1/202</w:t>
      </w:r>
      <w:r w:rsidR="008E6931" w:rsidRPr="00B15171">
        <w:rPr>
          <w:rFonts w:ascii="Tahoma" w:hAnsi="Tahoma" w:cs="Tahoma"/>
          <w:sz w:val="20"/>
          <w:szCs w:val="20"/>
        </w:rPr>
        <w:t>2</w:t>
      </w:r>
      <w:r w:rsidRPr="00B15171">
        <w:rPr>
          <w:rFonts w:ascii="Tahoma" w:hAnsi="Tahoma" w:cs="Tahoma"/>
          <w:sz w:val="20"/>
          <w:szCs w:val="20"/>
        </w:rPr>
        <w:t xml:space="preserve">      Copertura nell’anno     Perdita al 31/12/202</w:t>
      </w:r>
      <w:r w:rsidR="008E6931" w:rsidRPr="00B15171">
        <w:rPr>
          <w:rFonts w:ascii="Tahoma" w:hAnsi="Tahoma" w:cs="Tahoma"/>
          <w:sz w:val="20"/>
          <w:szCs w:val="20"/>
        </w:rPr>
        <w:t>2</w:t>
      </w:r>
    </w:p>
    <w:p w14:paraId="56BD03C8" w14:textId="515C5F8A" w:rsidR="004916EA" w:rsidRPr="000A5632" w:rsidRDefault="00924FED"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esercizio 2020          1000</w:t>
      </w:r>
      <w:r w:rsidRPr="00B15171">
        <w:rPr>
          <w:rFonts w:ascii="Tahoma" w:hAnsi="Tahoma" w:cs="Tahoma"/>
          <w:sz w:val="20"/>
          <w:szCs w:val="20"/>
        </w:rPr>
        <w:tab/>
      </w:r>
      <w:r w:rsidRPr="00B15171">
        <w:rPr>
          <w:rFonts w:ascii="Tahoma" w:hAnsi="Tahoma" w:cs="Tahoma"/>
          <w:sz w:val="20"/>
          <w:szCs w:val="20"/>
        </w:rPr>
        <w:tab/>
      </w:r>
      <w:r w:rsidRPr="00B15171">
        <w:rPr>
          <w:rFonts w:ascii="Tahoma" w:hAnsi="Tahoma" w:cs="Tahoma"/>
          <w:sz w:val="20"/>
          <w:szCs w:val="20"/>
        </w:rPr>
        <w:tab/>
        <w:t>-</w:t>
      </w:r>
      <w:r w:rsidR="008E6931" w:rsidRPr="00B15171">
        <w:rPr>
          <w:rFonts w:ascii="Tahoma" w:hAnsi="Tahoma" w:cs="Tahoma"/>
          <w:sz w:val="20"/>
          <w:szCs w:val="20"/>
        </w:rPr>
        <w:t>5</w:t>
      </w:r>
      <w:r w:rsidRPr="00B15171">
        <w:rPr>
          <w:rFonts w:ascii="Tahoma" w:hAnsi="Tahoma" w:cs="Tahoma"/>
          <w:sz w:val="20"/>
          <w:szCs w:val="20"/>
        </w:rPr>
        <w:t>00</w:t>
      </w:r>
      <w:r w:rsidRPr="00B15171">
        <w:rPr>
          <w:rFonts w:ascii="Tahoma" w:hAnsi="Tahoma" w:cs="Tahoma"/>
          <w:sz w:val="20"/>
          <w:szCs w:val="20"/>
        </w:rPr>
        <w:tab/>
      </w:r>
      <w:r w:rsidR="000A5632">
        <w:rPr>
          <w:rFonts w:ascii="Tahoma" w:hAnsi="Tahoma" w:cs="Tahoma"/>
          <w:sz w:val="20"/>
          <w:szCs w:val="20"/>
        </w:rPr>
        <w:tab/>
      </w:r>
      <w:r w:rsidR="000A5632">
        <w:rPr>
          <w:rFonts w:ascii="Tahoma" w:hAnsi="Tahoma" w:cs="Tahoma"/>
          <w:sz w:val="20"/>
          <w:szCs w:val="20"/>
        </w:rPr>
        <w:tab/>
      </w:r>
      <w:r w:rsidR="008E6931" w:rsidRPr="00B15171">
        <w:rPr>
          <w:rFonts w:ascii="Tahoma" w:hAnsi="Tahoma" w:cs="Tahoma"/>
          <w:sz w:val="20"/>
          <w:szCs w:val="20"/>
        </w:rPr>
        <w:t>5</w:t>
      </w:r>
      <w:r w:rsidRPr="00B15171">
        <w:rPr>
          <w:rFonts w:ascii="Tahoma" w:hAnsi="Tahoma" w:cs="Tahoma"/>
          <w:sz w:val="20"/>
          <w:szCs w:val="20"/>
        </w:rPr>
        <w:t>00</w:t>
      </w:r>
    </w:p>
    <w:p w14:paraId="3EFE0917" w14:textId="77777777" w:rsidR="000A5632" w:rsidRDefault="000A5632"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p>
    <w:p w14:paraId="7EFADE8B" w14:textId="76A8A63A" w:rsidR="00146924" w:rsidRPr="00B15171"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L’utile dell’esercizio 2022 ammonta a 600 e quindi, in sede di destinazione si procederà alla copertura della perdita 2020 residua.</w:t>
      </w:r>
    </w:p>
    <w:p w14:paraId="2C47036C" w14:textId="3FD3DAE6" w:rsidR="004916EA" w:rsidRPr="000A5632"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Della copertura verrà dato atto nel bilancio al 31/12/2023.</w:t>
      </w:r>
    </w:p>
    <w:p w14:paraId="3B5B1210" w14:textId="77777777" w:rsidR="004916EA" w:rsidRPr="00B15171" w:rsidRDefault="004916EA" w:rsidP="00B15171">
      <w:pPr>
        <w:spacing w:after="200" w:line="360" w:lineRule="auto"/>
        <w:jc w:val="both"/>
        <w:rPr>
          <w:rFonts w:ascii="Tahoma" w:hAnsi="Tahoma" w:cs="Tahoma"/>
          <w:sz w:val="20"/>
          <w:szCs w:val="20"/>
        </w:rPr>
      </w:pPr>
    </w:p>
    <w:p w14:paraId="4237B162" w14:textId="71957BE8" w:rsidR="006E7001" w:rsidRPr="00B15171" w:rsidRDefault="006E7001" w:rsidP="00B15171">
      <w:pPr>
        <w:spacing w:after="200" w:line="360" w:lineRule="auto"/>
        <w:jc w:val="both"/>
        <w:rPr>
          <w:rFonts w:ascii="Tahoma" w:hAnsi="Tahoma" w:cs="Tahoma"/>
          <w:b/>
          <w:sz w:val="20"/>
          <w:szCs w:val="20"/>
        </w:rPr>
      </w:pPr>
      <w:r w:rsidRPr="00B15171">
        <w:rPr>
          <w:rFonts w:ascii="Tahoma" w:hAnsi="Tahoma" w:cs="Tahoma"/>
          <w:b/>
          <w:sz w:val="20"/>
          <w:szCs w:val="20"/>
        </w:rPr>
        <w:t>II Ipotesi: perdita anche nell’esercizio 2021</w:t>
      </w:r>
    </w:p>
    <w:p w14:paraId="31F8BFF6" w14:textId="63355749" w:rsidR="006E7001" w:rsidRPr="000A5632"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
          <w:sz w:val="20"/>
          <w:szCs w:val="20"/>
        </w:rPr>
      </w:pPr>
      <w:r w:rsidRPr="00B15171">
        <w:rPr>
          <w:rFonts w:ascii="Tahoma" w:hAnsi="Tahoma" w:cs="Tahoma"/>
          <w:b/>
          <w:sz w:val="20"/>
          <w:szCs w:val="20"/>
        </w:rPr>
        <w:t xml:space="preserve">Prospetto art. 6, comma 5  DL 23/2020, </w:t>
      </w:r>
      <w:proofErr w:type="spellStart"/>
      <w:r w:rsidRPr="00B15171">
        <w:rPr>
          <w:rFonts w:ascii="Tahoma" w:hAnsi="Tahoma" w:cs="Tahoma"/>
          <w:b/>
          <w:sz w:val="20"/>
          <w:szCs w:val="20"/>
        </w:rPr>
        <w:t>conv</w:t>
      </w:r>
      <w:proofErr w:type="spellEnd"/>
      <w:r w:rsidRPr="00B15171">
        <w:rPr>
          <w:rFonts w:ascii="Tahoma" w:hAnsi="Tahoma" w:cs="Tahoma"/>
          <w:b/>
          <w:sz w:val="20"/>
          <w:szCs w:val="20"/>
        </w:rPr>
        <w:t xml:space="preserve"> da L. 40/2020, come modificato dal comma 266 dell’art. 1 della L. 31 dicembre 2020, n. 178</w:t>
      </w:r>
    </w:p>
    <w:p w14:paraId="3D4F0F91" w14:textId="24B517FC"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dell’esercizio 2020: 1000</w:t>
      </w:r>
    </w:p>
    <w:p w14:paraId="007810C0" w14:textId="58EB0736"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dell’esercizio 2021: 650</w:t>
      </w:r>
    </w:p>
    <w:p w14:paraId="4B7A9CDD" w14:textId="77777777"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 xml:space="preserve">Le perdite dell’esercizio 2020 derivavano dalle difficoltà incontrate dalla società, operante nel settore della ristorazione, nel corso dell’esercizio, a causa della forzata chiusura nei mesi di marzo ed aprile e dalla chiusura </w:t>
      </w:r>
      <w:r w:rsidRPr="00B15171">
        <w:rPr>
          <w:rFonts w:ascii="Tahoma" w:hAnsi="Tahoma" w:cs="Tahoma"/>
          <w:sz w:val="20"/>
          <w:szCs w:val="20"/>
        </w:rPr>
        <w:lastRenderedPageBreak/>
        <w:t>alle ore 18.00 a far data dal mese di novembre. Gli importi a ristoro pervenuti sono riusciti solo ad attutire l’impatto della pesantissima perdita di fatturato.</w:t>
      </w:r>
    </w:p>
    <w:p w14:paraId="39E0B8F4" w14:textId="5DB7A8A1"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Le perdite dell’esercizio 2021 deriva</w:t>
      </w:r>
      <w:r w:rsidR="008E6931" w:rsidRPr="00B15171">
        <w:rPr>
          <w:rFonts w:ascii="Tahoma" w:hAnsi="Tahoma" w:cs="Tahoma"/>
          <w:sz w:val="20"/>
          <w:szCs w:val="20"/>
        </w:rPr>
        <w:t>va</w:t>
      </w:r>
      <w:r w:rsidRPr="00B15171">
        <w:rPr>
          <w:rFonts w:ascii="Tahoma" w:hAnsi="Tahoma" w:cs="Tahoma"/>
          <w:sz w:val="20"/>
          <w:szCs w:val="20"/>
        </w:rPr>
        <w:t xml:space="preserve">no dal fatto che per i primi sei mesi l’attività è stata rallentata per effetto del c.d. coprifuoco che ha comportato una notevole compressione del fatturato </w:t>
      </w:r>
    </w:p>
    <w:p w14:paraId="1C551ABB" w14:textId="32C2CFBF" w:rsidR="000E2A42"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Il prospetto delle movimentazioni è il seguente:</w:t>
      </w:r>
    </w:p>
    <w:p w14:paraId="096FED5A" w14:textId="664D1608" w:rsidR="006E7001" w:rsidRPr="00B15171" w:rsidRDefault="006E7001" w:rsidP="000A5632">
      <w:pPr>
        <w:pBdr>
          <w:top w:val="single" w:sz="4" w:space="1" w:color="auto"/>
          <w:left w:val="single" w:sz="4" w:space="4" w:color="auto"/>
          <w:bottom w:val="single" w:sz="4" w:space="1" w:color="auto"/>
          <w:right w:val="single" w:sz="4" w:space="4" w:color="auto"/>
        </w:pBdr>
        <w:spacing w:after="200" w:line="360" w:lineRule="auto"/>
        <w:ind w:firstLine="708"/>
        <w:jc w:val="both"/>
        <w:rPr>
          <w:rFonts w:ascii="Tahoma" w:hAnsi="Tahoma" w:cs="Tahoma"/>
          <w:sz w:val="20"/>
          <w:szCs w:val="20"/>
        </w:rPr>
      </w:pPr>
      <w:r w:rsidRPr="00B15171">
        <w:rPr>
          <w:rFonts w:ascii="Tahoma" w:hAnsi="Tahoma" w:cs="Tahoma"/>
          <w:sz w:val="20"/>
          <w:szCs w:val="20"/>
        </w:rPr>
        <w:t xml:space="preserve">                      Perdita all’1/1/202</w:t>
      </w:r>
      <w:r w:rsidR="008E6931" w:rsidRPr="00B15171">
        <w:rPr>
          <w:rFonts w:ascii="Tahoma" w:hAnsi="Tahoma" w:cs="Tahoma"/>
          <w:sz w:val="20"/>
          <w:szCs w:val="20"/>
        </w:rPr>
        <w:t>2</w:t>
      </w:r>
      <w:r w:rsidRPr="00B15171">
        <w:rPr>
          <w:rFonts w:ascii="Tahoma" w:hAnsi="Tahoma" w:cs="Tahoma"/>
          <w:sz w:val="20"/>
          <w:szCs w:val="20"/>
        </w:rPr>
        <w:t xml:space="preserve">      Copertura nell’anno     Perdita al 31/12/202</w:t>
      </w:r>
      <w:r w:rsidR="008E6931" w:rsidRPr="00B15171">
        <w:rPr>
          <w:rFonts w:ascii="Tahoma" w:hAnsi="Tahoma" w:cs="Tahoma"/>
          <w:sz w:val="20"/>
          <w:szCs w:val="20"/>
        </w:rPr>
        <w:t>2</w:t>
      </w:r>
    </w:p>
    <w:p w14:paraId="25F15862" w14:textId="7C825AB9" w:rsidR="006E7001" w:rsidRPr="00B15171"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esercizio 2020          1000</w:t>
      </w:r>
      <w:r w:rsidRPr="00B15171">
        <w:rPr>
          <w:rFonts w:ascii="Tahoma" w:hAnsi="Tahoma" w:cs="Tahoma"/>
          <w:sz w:val="20"/>
          <w:szCs w:val="20"/>
        </w:rPr>
        <w:tab/>
      </w:r>
      <w:r w:rsidRPr="00B15171">
        <w:rPr>
          <w:rFonts w:ascii="Tahoma" w:hAnsi="Tahoma" w:cs="Tahoma"/>
          <w:sz w:val="20"/>
          <w:szCs w:val="20"/>
        </w:rPr>
        <w:tab/>
      </w:r>
      <w:r w:rsidRPr="00B15171">
        <w:rPr>
          <w:rFonts w:ascii="Tahoma" w:hAnsi="Tahoma" w:cs="Tahoma"/>
          <w:sz w:val="20"/>
          <w:szCs w:val="20"/>
        </w:rPr>
        <w:tab/>
        <w:t xml:space="preserve">   0</w:t>
      </w:r>
      <w:r w:rsidRPr="00B15171">
        <w:rPr>
          <w:rFonts w:ascii="Tahoma" w:hAnsi="Tahoma" w:cs="Tahoma"/>
          <w:sz w:val="20"/>
          <w:szCs w:val="20"/>
        </w:rPr>
        <w:tab/>
      </w:r>
      <w:r w:rsidRPr="00B15171">
        <w:rPr>
          <w:rFonts w:ascii="Tahoma" w:hAnsi="Tahoma" w:cs="Tahoma"/>
          <w:sz w:val="20"/>
          <w:szCs w:val="20"/>
        </w:rPr>
        <w:tab/>
      </w:r>
      <w:r w:rsidR="000A5632">
        <w:rPr>
          <w:rFonts w:ascii="Tahoma" w:hAnsi="Tahoma" w:cs="Tahoma"/>
          <w:sz w:val="20"/>
          <w:szCs w:val="20"/>
        </w:rPr>
        <w:tab/>
      </w:r>
      <w:r w:rsidRPr="00B15171">
        <w:rPr>
          <w:rFonts w:ascii="Tahoma" w:hAnsi="Tahoma" w:cs="Tahoma"/>
          <w:sz w:val="20"/>
          <w:szCs w:val="20"/>
        </w:rPr>
        <w:t>1000</w:t>
      </w:r>
    </w:p>
    <w:p w14:paraId="36D87467" w14:textId="77EBF92B" w:rsidR="006E7001" w:rsidRPr="000A5632" w:rsidRDefault="006E7001"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sz w:val="20"/>
          <w:szCs w:val="20"/>
        </w:rPr>
      </w:pPr>
      <w:r w:rsidRPr="00B15171">
        <w:rPr>
          <w:rFonts w:ascii="Tahoma" w:hAnsi="Tahoma" w:cs="Tahoma"/>
          <w:sz w:val="20"/>
          <w:szCs w:val="20"/>
        </w:rPr>
        <w:t>Perdite esercizio 2021            650                                  0                               650</w:t>
      </w:r>
    </w:p>
    <w:p w14:paraId="12009842" w14:textId="77777777" w:rsidR="000A5632" w:rsidRDefault="000A5632"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p>
    <w:p w14:paraId="21024C36" w14:textId="32AF8150" w:rsidR="00146924" w:rsidRPr="00B15171"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L’utile dell’esercizio 2022 ammonta a 600 e quindi, in sede di destinazione si procederà alla copertura parziale della perdita 2020.</w:t>
      </w:r>
    </w:p>
    <w:p w14:paraId="28F6743A" w14:textId="2BA33767" w:rsidR="006E7001" w:rsidRPr="000A5632" w:rsidRDefault="00146924" w:rsidP="00B15171">
      <w:pPr>
        <w:pBdr>
          <w:top w:val="single" w:sz="4" w:space="1" w:color="auto"/>
          <w:left w:val="single" w:sz="4" w:space="4" w:color="auto"/>
          <w:bottom w:val="single" w:sz="4" w:space="1" w:color="auto"/>
          <w:right w:val="single" w:sz="4" w:space="4" w:color="auto"/>
        </w:pBdr>
        <w:spacing w:after="200" w:line="360" w:lineRule="auto"/>
        <w:jc w:val="both"/>
        <w:rPr>
          <w:rFonts w:ascii="Tahoma" w:hAnsi="Tahoma" w:cs="Tahoma"/>
          <w:bCs/>
          <w:sz w:val="20"/>
          <w:szCs w:val="20"/>
        </w:rPr>
      </w:pPr>
      <w:r w:rsidRPr="00B15171">
        <w:rPr>
          <w:rFonts w:ascii="Tahoma" w:hAnsi="Tahoma" w:cs="Tahoma"/>
          <w:bCs/>
          <w:sz w:val="20"/>
          <w:szCs w:val="20"/>
        </w:rPr>
        <w:t>Della copertura verrà dato atto nel bilancio al 31/12/2023.</w:t>
      </w:r>
    </w:p>
    <w:p w14:paraId="12956C8F" w14:textId="77777777" w:rsidR="006E7001" w:rsidRPr="00B15171" w:rsidRDefault="006E7001" w:rsidP="00B15171">
      <w:pPr>
        <w:spacing w:after="200" w:line="360" w:lineRule="auto"/>
        <w:jc w:val="both"/>
        <w:rPr>
          <w:rFonts w:ascii="Tahoma" w:hAnsi="Tahoma" w:cs="Tahoma"/>
          <w:b/>
          <w:sz w:val="20"/>
          <w:szCs w:val="20"/>
        </w:rPr>
      </w:pPr>
    </w:p>
    <w:p w14:paraId="1A7A15F0" w14:textId="3DD6266C" w:rsidR="00073062" w:rsidRPr="00B15171" w:rsidRDefault="009F6E79" w:rsidP="00B15171">
      <w:pPr>
        <w:spacing w:after="200" w:line="360" w:lineRule="auto"/>
        <w:jc w:val="both"/>
        <w:rPr>
          <w:rFonts w:ascii="Tahoma" w:hAnsi="Tahoma" w:cs="Tahoma"/>
          <w:bCs/>
          <w:sz w:val="20"/>
          <w:szCs w:val="20"/>
        </w:rPr>
      </w:pPr>
      <w:r w:rsidRPr="00B15171">
        <w:rPr>
          <w:rFonts w:ascii="Tahoma" w:hAnsi="Tahoma" w:cs="Tahoma"/>
          <w:bCs/>
          <w:sz w:val="20"/>
          <w:szCs w:val="20"/>
        </w:rPr>
        <w:t>La sterilizzazione delle perdite 2020</w:t>
      </w:r>
      <w:r w:rsidR="008E6931" w:rsidRPr="00B15171">
        <w:rPr>
          <w:rFonts w:ascii="Tahoma" w:hAnsi="Tahoma" w:cs="Tahoma"/>
          <w:bCs/>
          <w:sz w:val="20"/>
          <w:szCs w:val="20"/>
        </w:rPr>
        <w:t xml:space="preserve">, </w:t>
      </w:r>
      <w:r w:rsidR="006E7001" w:rsidRPr="00B15171">
        <w:rPr>
          <w:rFonts w:ascii="Tahoma" w:hAnsi="Tahoma" w:cs="Tahoma"/>
          <w:bCs/>
          <w:sz w:val="20"/>
          <w:szCs w:val="20"/>
        </w:rPr>
        <w:t xml:space="preserve">2021 </w:t>
      </w:r>
      <w:r w:rsidR="008E6931" w:rsidRPr="00B15171">
        <w:rPr>
          <w:rFonts w:ascii="Tahoma" w:hAnsi="Tahoma" w:cs="Tahoma"/>
          <w:bCs/>
          <w:sz w:val="20"/>
          <w:szCs w:val="20"/>
        </w:rPr>
        <w:t xml:space="preserve"> e 2022 </w:t>
      </w:r>
      <w:r w:rsidRPr="00B15171">
        <w:rPr>
          <w:rFonts w:ascii="Tahoma" w:hAnsi="Tahoma" w:cs="Tahoma"/>
          <w:bCs/>
          <w:sz w:val="20"/>
          <w:szCs w:val="20"/>
        </w:rPr>
        <w:t xml:space="preserve">comporta in via pratica la costituzione di due gruppi </w:t>
      </w:r>
      <w:r w:rsidR="00DD1B11" w:rsidRPr="00B15171">
        <w:rPr>
          <w:rFonts w:ascii="Tahoma" w:hAnsi="Tahoma" w:cs="Tahoma"/>
          <w:bCs/>
          <w:sz w:val="20"/>
          <w:szCs w:val="20"/>
        </w:rPr>
        <w:t xml:space="preserve">separati e distinti </w:t>
      </w:r>
      <w:r w:rsidRPr="00B15171">
        <w:rPr>
          <w:rFonts w:ascii="Tahoma" w:hAnsi="Tahoma" w:cs="Tahoma"/>
          <w:bCs/>
          <w:sz w:val="20"/>
          <w:szCs w:val="20"/>
        </w:rPr>
        <w:t>di perdite.</w:t>
      </w:r>
    </w:p>
    <w:p w14:paraId="629C14BF" w14:textId="4B27E0A6" w:rsidR="00703C90" w:rsidRPr="00B15171" w:rsidRDefault="009F6E79" w:rsidP="00B15171">
      <w:pPr>
        <w:spacing w:after="200" w:line="360" w:lineRule="auto"/>
        <w:jc w:val="both"/>
        <w:rPr>
          <w:rFonts w:ascii="Tahoma" w:hAnsi="Tahoma" w:cs="Tahoma"/>
          <w:bCs/>
          <w:sz w:val="20"/>
          <w:szCs w:val="20"/>
        </w:rPr>
      </w:pPr>
      <w:r w:rsidRPr="00B15171">
        <w:rPr>
          <w:rFonts w:ascii="Tahoma" w:hAnsi="Tahoma" w:cs="Tahoma"/>
          <w:bCs/>
          <w:sz w:val="20"/>
          <w:szCs w:val="20"/>
        </w:rPr>
        <w:t xml:space="preserve">Le perdite </w:t>
      </w:r>
      <w:r w:rsidR="008E6931" w:rsidRPr="00B15171">
        <w:rPr>
          <w:rFonts w:ascii="Tahoma" w:hAnsi="Tahoma" w:cs="Tahoma"/>
          <w:bCs/>
          <w:sz w:val="20"/>
          <w:szCs w:val="20"/>
        </w:rPr>
        <w:t xml:space="preserve">degli esercizi 2020, 2021 </w:t>
      </w:r>
      <w:r w:rsidR="006E7001" w:rsidRPr="00B15171">
        <w:rPr>
          <w:rFonts w:ascii="Tahoma" w:hAnsi="Tahoma" w:cs="Tahoma"/>
          <w:bCs/>
          <w:sz w:val="20"/>
          <w:szCs w:val="20"/>
        </w:rPr>
        <w:t>e 202</w:t>
      </w:r>
      <w:r w:rsidR="008E6931" w:rsidRPr="00B15171">
        <w:rPr>
          <w:rFonts w:ascii="Tahoma" w:hAnsi="Tahoma" w:cs="Tahoma"/>
          <w:bCs/>
          <w:sz w:val="20"/>
          <w:szCs w:val="20"/>
        </w:rPr>
        <w:t>2</w:t>
      </w:r>
      <w:r w:rsidR="006E7001" w:rsidRPr="00B15171">
        <w:rPr>
          <w:rFonts w:ascii="Tahoma" w:hAnsi="Tahoma" w:cs="Tahoma"/>
          <w:bCs/>
          <w:sz w:val="20"/>
          <w:szCs w:val="20"/>
        </w:rPr>
        <w:t xml:space="preserve"> </w:t>
      </w:r>
      <w:r w:rsidRPr="00B15171">
        <w:rPr>
          <w:rFonts w:ascii="Tahoma" w:hAnsi="Tahoma" w:cs="Tahoma"/>
          <w:bCs/>
          <w:sz w:val="20"/>
          <w:szCs w:val="20"/>
        </w:rPr>
        <w:t>sono un gruppo separato e distinto di perdite che segu</w:t>
      </w:r>
      <w:r w:rsidR="00DD1B11" w:rsidRPr="00B15171">
        <w:rPr>
          <w:rFonts w:ascii="Tahoma" w:hAnsi="Tahoma" w:cs="Tahoma"/>
          <w:bCs/>
          <w:sz w:val="20"/>
          <w:szCs w:val="20"/>
        </w:rPr>
        <w:t>e</w:t>
      </w:r>
      <w:r w:rsidRPr="00B15171">
        <w:rPr>
          <w:rFonts w:ascii="Tahoma" w:hAnsi="Tahoma" w:cs="Tahoma"/>
          <w:bCs/>
          <w:sz w:val="20"/>
          <w:szCs w:val="20"/>
        </w:rPr>
        <w:t xml:space="preserve"> le regole particolari, specifiche e irripetute dell’art. 6 del DL 23/2020. </w:t>
      </w:r>
    </w:p>
    <w:p w14:paraId="03E5AF0B" w14:textId="2F913C9E" w:rsidR="006E7001" w:rsidRPr="00B15171" w:rsidRDefault="009F6E79" w:rsidP="00B15171">
      <w:pPr>
        <w:spacing w:after="200" w:line="360" w:lineRule="auto"/>
        <w:jc w:val="both"/>
        <w:rPr>
          <w:rFonts w:ascii="Tahoma" w:hAnsi="Tahoma" w:cs="Tahoma"/>
          <w:bCs/>
          <w:sz w:val="20"/>
          <w:szCs w:val="20"/>
        </w:rPr>
      </w:pPr>
      <w:r w:rsidRPr="00B15171">
        <w:rPr>
          <w:rFonts w:ascii="Tahoma" w:hAnsi="Tahoma" w:cs="Tahoma"/>
          <w:bCs/>
          <w:sz w:val="20"/>
          <w:szCs w:val="20"/>
        </w:rPr>
        <w:t>Le perdite di tutti gli altri esercizi sono un gruppo di perdite che segu</w:t>
      </w:r>
      <w:r w:rsidR="00CB4C82" w:rsidRPr="00B15171">
        <w:rPr>
          <w:rFonts w:ascii="Tahoma" w:hAnsi="Tahoma" w:cs="Tahoma"/>
          <w:bCs/>
          <w:sz w:val="20"/>
          <w:szCs w:val="20"/>
        </w:rPr>
        <w:t>e</w:t>
      </w:r>
      <w:r w:rsidRPr="00B15171">
        <w:rPr>
          <w:rFonts w:ascii="Tahoma" w:hAnsi="Tahoma" w:cs="Tahoma"/>
          <w:bCs/>
          <w:sz w:val="20"/>
          <w:szCs w:val="20"/>
        </w:rPr>
        <w:t xml:space="preserve"> le regole ordinarie del codice civile, senza sterilizzazione né rinvio di un quinquennio.</w:t>
      </w:r>
    </w:p>
    <w:p w14:paraId="452877B4" w14:textId="17E81491" w:rsidR="006E7001" w:rsidRDefault="006E7001" w:rsidP="00B15171">
      <w:pPr>
        <w:spacing w:after="200" w:line="360" w:lineRule="auto"/>
        <w:jc w:val="both"/>
        <w:rPr>
          <w:rFonts w:ascii="Tahoma" w:hAnsi="Tahoma" w:cs="Tahoma"/>
          <w:bCs/>
          <w:sz w:val="20"/>
          <w:szCs w:val="20"/>
        </w:rPr>
      </w:pPr>
      <w:r w:rsidRPr="00B15171">
        <w:rPr>
          <w:rFonts w:ascii="Tahoma" w:hAnsi="Tahoma" w:cs="Tahoma"/>
          <w:bCs/>
          <w:sz w:val="20"/>
          <w:szCs w:val="20"/>
        </w:rPr>
        <w:t>Pertanto se cumulando le perdite ante 2020 con le perdite del 2020</w:t>
      </w:r>
      <w:r w:rsidR="001705CD" w:rsidRPr="00B15171">
        <w:rPr>
          <w:rFonts w:ascii="Tahoma" w:hAnsi="Tahoma" w:cs="Tahoma"/>
          <w:bCs/>
          <w:sz w:val="20"/>
          <w:szCs w:val="20"/>
        </w:rPr>
        <w:t xml:space="preserve">, </w:t>
      </w:r>
      <w:r w:rsidRPr="00B15171">
        <w:rPr>
          <w:rFonts w:ascii="Tahoma" w:hAnsi="Tahoma" w:cs="Tahoma"/>
          <w:bCs/>
          <w:sz w:val="20"/>
          <w:szCs w:val="20"/>
        </w:rPr>
        <w:t xml:space="preserve">del 2021 </w:t>
      </w:r>
      <w:r w:rsidR="001705CD" w:rsidRPr="00B15171">
        <w:rPr>
          <w:rFonts w:ascii="Tahoma" w:hAnsi="Tahoma" w:cs="Tahoma"/>
          <w:bCs/>
          <w:sz w:val="20"/>
          <w:szCs w:val="20"/>
        </w:rPr>
        <w:t xml:space="preserve"> e del 2022 </w:t>
      </w:r>
      <w:r w:rsidRPr="00B15171">
        <w:rPr>
          <w:rFonts w:ascii="Tahoma" w:hAnsi="Tahoma" w:cs="Tahoma"/>
          <w:bCs/>
          <w:sz w:val="20"/>
          <w:szCs w:val="20"/>
        </w:rPr>
        <w:t>vengono superati i limiti dell’art. 2446 c.c., o peggio dell’art. 2447 c.c., gli obblighi di copertura non scattano e subentra la facoltà di sterilizzazione.</w:t>
      </w:r>
    </w:p>
    <w:p w14:paraId="45501D26" w14:textId="77777777" w:rsidR="009208F3" w:rsidRDefault="009208F3" w:rsidP="00B15171">
      <w:pPr>
        <w:spacing w:after="200" w:line="360" w:lineRule="auto"/>
        <w:jc w:val="both"/>
        <w:rPr>
          <w:rFonts w:ascii="Tahoma" w:hAnsi="Tahoma" w:cs="Tahoma"/>
          <w:bCs/>
          <w:sz w:val="20"/>
          <w:szCs w:val="20"/>
        </w:rPr>
      </w:pPr>
    </w:p>
    <w:p w14:paraId="0469D35A" w14:textId="4B3A0ACC" w:rsidR="00475102" w:rsidRPr="00196E4D" w:rsidRDefault="00A8032F" w:rsidP="009208F3">
      <w:pPr>
        <w:pStyle w:val="Titolo2"/>
      </w:pPr>
      <w:bookmarkStart w:id="21" w:name="_Toc161309107"/>
      <w:r>
        <w:t>5</w:t>
      </w:r>
      <w:r w:rsidR="00475102" w:rsidRPr="00196E4D">
        <w:t>.4 Le perdite nel bilancio 2023</w:t>
      </w:r>
      <w:bookmarkEnd w:id="21"/>
    </w:p>
    <w:p w14:paraId="0943572D" w14:textId="5F3B0911" w:rsidR="008F11B4" w:rsidRPr="00493351" w:rsidRDefault="00475102" w:rsidP="00B15171">
      <w:pPr>
        <w:spacing w:after="200" w:line="360" w:lineRule="auto"/>
        <w:jc w:val="both"/>
        <w:rPr>
          <w:rFonts w:ascii="Tahoma" w:hAnsi="Tahoma" w:cs="Tahoma"/>
          <w:b/>
          <w:sz w:val="20"/>
          <w:szCs w:val="20"/>
        </w:rPr>
      </w:pPr>
      <w:r w:rsidRPr="00493351">
        <w:rPr>
          <w:rFonts w:ascii="Tahoma" w:hAnsi="Tahoma" w:cs="Tahoma"/>
          <w:b/>
          <w:sz w:val="20"/>
          <w:szCs w:val="20"/>
        </w:rPr>
        <w:t xml:space="preserve">La norma di sterilizzazione delle perdite </w:t>
      </w:r>
      <w:r w:rsidRPr="00A816EE">
        <w:rPr>
          <w:rFonts w:ascii="Tahoma" w:hAnsi="Tahoma" w:cs="Tahoma"/>
          <w:b/>
          <w:sz w:val="20"/>
          <w:szCs w:val="20"/>
        </w:rPr>
        <w:t>non</w:t>
      </w:r>
      <w:r w:rsidRPr="00493351">
        <w:rPr>
          <w:rFonts w:ascii="Tahoma" w:hAnsi="Tahoma" w:cs="Tahoma"/>
          <w:b/>
          <w:sz w:val="20"/>
          <w:szCs w:val="20"/>
        </w:rPr>
        <w:t xml:space="preserve"> è </w:t>
      </w:r>
      <w:r w:rsidR="00A816EE" w:rsidRPr="00493351">
        <w:rPr>
          <w:rFonts w:ascii="Tahoma" w:hAnsi="Tahoma" w:cs="Tahoma"/>
          <w:b/>
          <w:sz w:val="20"/>
          <w:szCs w:val="20"/>
        </w:rPr>
        <w:t>applicabile al</w:t>
      </w:r>
      <w:r w:rsidRPr="00493351">
        <w:rPr>
          <w:rFonts w:ascii="Tahoma" w:hAnsi="Tahoma" w:cs="Tahoma"/>
          <w:b/>
          <w:sz w:val="20"/>
          <w:szCs w:val="20"/>
        </w:rPr>
        <w:t xml:space="preserve"> bilancio 2023.</w:t>
      </w:r>
    </w:p>
    <w:p w14:paraId="60E8AACD" w14:textId="77777777" w:rsidR="00A816EE" w:rsidRDefault="00A816EE" w:rsidP="00B15171">
      <w:pPr>
        <w:spacing w:after="200" w:line="360" w:lineRule="auto"/>
        <w:jc w:val="both"/>
        <w:rPr>
          <w:rFonts w:ascii="Tahoma" w:hAnsi="Tahoma" w:cs="Tahoma"/>
          <w:bCs/>
          <w:sz w:val="20"/>
          <w:szCs w:val="20"/>
        </w:rPr>
      </w:pPr>
      <w:r>
        <w:rPr>
          <w:rFonts w:ascii="Tahoma" w:hAnsi="Tahoma" w:cs="Tahoma"/>
          <w:bCs/>
          <w:sz w:val="20"/>
          <w:szCs w:val="20"/>
        </w:rPr>
        <w:t>Non è stata eseguita alcuna proroga e quindi al bilancio 2023 riprendono ad applicarsi le norme ordinarie.</w:t>
      </w:r>
    </w:p>
    <w:p w14:paraId="47415E55" w14:textId="0614A41D" w:rsidR="008F11B4" w:rsidRDefault="008F11B4" w:rsidP="00B15171">
      <w:pPr>
        <w:spacing w:after="200" w:line="360" w:lineRule="auto"/>
        <w:jc w:val="both"/>
        <w:rPr>
          <w:rFonts w:ascii="Tahoma" w:hAnsi="Tahoma" w:cs="Tahoma"/>
          <w:bCs/>
          <w:sz w:val="20"/>
          <w:szCs w:val="20"/>
        </w:rPr>
      </w:pPr>
      <w:r>
        <w:rPr>
          <w:rFonts w:ascii="Tahoma" w:hAnsi="Tahoma" w:cs="Tahoma"/>
          <w:bCs/>
          <w:sz w:val="20"/>
          <w:szCs w:val="20"/>
        </w:rPr>
        <w:t xml:space="preserve">Possono quindi verificarsi varie ipotesi. </w:t>
      </w:r>
    </w:p>
    <w:p w14:paraId="6B3AEA99" w14:textId="1DADCB81" w:rsidR="00475102" w:rsidRDefault="008F11B4" w:rsidP="00B15171">
      <w:pPr>
        <w:spacing w:after="200" w:line="360" w:lineRule="auto"/>
        <w:jc w:val="both"/>
        <w:rPr>
          <w:rFonts w:ascii="Tahoma" w:hAnsi="Tahoma" w:cs="Tahoma"/>
          <w:bCs/>
          <w:sz w:val="20"/>
          <w:szCs w:val="20"/>
        </w:rPr>
      </w:pPr>
      <w:r>
        <w:rPr>
          <w:rFonts w:ascii="Tahoma" w:hAnsi="Tahoma" w:cs="Tahoma"/>
          <w:bCs/>
          <w:sz w:val="20"/>
          <w:szCs w:val="20"/>
        </w:rPr>
        <w:lastRenderedPageBreak/>
        <w:t>Se, innanzitutto, non vi è stata alcuna sterilizzazione negli esercizi precedenti, le regole della perdita 2023 sono quelle ordinarie degli artt. 2446 e 2447 c.c. e 2482-</w:t>
      </w:r>
      <w:r>
        <w:rPr>
          <w:rFonts w:ascii="Tahoma" w:hAnsi="Tahoma" w:cs="Tahoma"/>
          <w:bCs/>
          <w:i/>
          <w:iCs/>
          <w:sz w:val="20"/>
          <w:szCs w:val="20"/>
        </w:rPr>
        <w:t xml:space="preserve">bis </w:t>
      </w:r>
      <w:r>
        <w:rPr>
          <w:rFonts w:ascii="Tahoma" w:hAnsi="Tahoma" w:cs="Tahoma"/>
          <w:bCs/>
          <w:sz w:val="20"/>
          <w:szCs w:val="20"/>
        </w:rPr>
        <w:t>e 2482-</w:t>
      </w:r>
      <w:r>
        <w:rPr>
          <w:rFonts w:ascii="Tahoma" w:hAnsi="Tahoma" w:cs="Tahoma"/>
          <w:bCs/>
          <w:i/>
          <w:iCs/>
          <w:sz w:val="20"/>
          <w:szCs w:val="20"/>
        </w:rPr>
        <w:t xml:space="preserve">ter </w:t>
      </w:r>
      <w:r>
        <w:rPr>
          <w:rFonts w:ascii="Tahoma" w:hAnsi="Tahoma" w:cs="Tahoma"/>
          <w:bCs/>
          <w:sz w:val="20"/>
          <w:szCs w:val="20"/>
        </w:rPr>
        <w:t>c.c.</w:t>
      </w:r>
    </w:p>
    <w:p w14:paraId="4475D5E7" w14:textId="7E5B03B7" w:rsidR="008F11B4" w:rsidRDefault="008F11B4" w:rsidP="00B15171">
      <w:pPr>
        <w:spacing w:after="200" w:line="360" w:lineRule="auto"/>
        <w:jc w:val="both"/>
        <w:rPr>
          <w:rFonts w:ascii="Tahoma" w:hAnsi="Tahoma" w:cs="Tahoma"/>
          <w:bCs/>
          <w:sz w:val="20"/>
          <w:szCs w:val="20"/>
        </w:rPr>
      </w:pPr>
      <w:r>
        <w:rPr>
          <w:rFonts w:ascii="Tahoma" w:hAnsi="Tahoma" w:cs="Tahoma"/>
          <w:bCs/>
          <w:sz w:val="20"/>
          <w:szCs w:val="20"/>
        </w:rPr>
        <w:t>Se vi è stata sterilizzazione negli anni precedenti, sussistono due posizioni dottrinarie.</w:t>
      </w:r>
    </w:p>
    <w:p w14:paraId="079BE524" w14:textId="2E91F020" w:rsidR="008F11B4" w:rsidRDefault="008F11B4" w:rsidP="00B15171">
      <w:pPr>
        <w:spacing w:after="200" w:line="360" w:lineRule="auto"/>
        <w:jc w:val="both"/>
        <w:rPr>
          <w:rFonts w:ascii="Tahoma" w:hAnsi="Tahoma" w:cs="Tahoma"/>
          <w:bCs/>
          <w:sz w:val="20"/>
          <w:szCs w:val="20"/>
        </w:rPr>
      </w:pPr>
      <w:r w:rsidRPr="00196E4D">
        <w:rPr>
          <w:rFonts w:ascii="Tahoma" w:hAnsi="Tahoma" w:cs="Tahoma"/>
          <w:b/>
          <w:i/>
          <w:iCs/>
          <w:sz w:val="20"/>
          <w:szCs w:val="20"/>
        </w:rPr>
        <w:t>I posizione</w:t>
      </w:r>
      <w:r>
        <w:rPr>
          <w:rFonts w:ascii="Tahoma" w:hAnsi="Tahoma" w:cs="Tahoma"/>
          <w:bCs/>
          <w:sz w:val="20"/>
          <w:szCs w:val="20"/>
        </w:rPr>
        <w:t>: per la copertura delle perdite 2023 occorre cumulare anche le perdite sterilizzate</w:t>
      </w:r>
    </w:p>
    <w:p w14:paraId="6E079ADB" w14:textId="7F9C97BE" w:rsidR="008F11B4" w:rsidRDefault="008F11B4" w:rsidP="00B15171">
      <w:pPr>
        <w:spacing w:after="200" w:line="360" w:lineRule="auto"/>
        <w:jc w:val="both"/>
        <w:rPr>
          <w:rFonts w:ascii="Tahoma" w:hAnsi="Tahoma" w:cs="Tahoma"/>
          <w:bCs/>
          <w:sz w:val="20"/>
          <w:szCs w:val="20"/>
        </w:rPr>
      </w:pPr>
      <w:r w:rsidRPr="00493351">
        <w:rPr>
          <w:rFonts w:ascii="Tahoma" w:hAnsi="Tahoma" w:cs="Tahoma"/>
          <w:b/>
          <w:i/>
          <w:iCs/>
          <w:sz w:val="20"/>
          <w:szCs w:val="20"/>
        </w:rPr>
        <w:t>II posizione</w:t>
      </w:r>
      <w:r>
        <w:rPr>
          <w:rFonts w:ascii="Tahoma" w:hAnsi="Tahoma" w:cs="Tahoma"/>
          <w:bCs/>
          <w:sz w:val="20"/>
          <w:szCs w:val="20"/>
        </w:rPr>
        <w:t>: le perdite sterilizzate non rilevano</w:t>
      </w:r>
    </w:p>
    <w:p w14:paraId="2F120326" w14:textId="06BE1653" w:rsidR="008F11B4" w:rsidRDefault="008F11B4" w:rsidP="00B15171">
      <w:pPr>
        <w:spacing w:after="200" w:line="360" w:lineRule="auto"/>
        <w:jc w:val="both"/>
        <w:rPr>
          <w:rFonts w:ascii="Tahoma" w:hAnsi="Tahoma" w:cs="Tahoma"/>
          <w:bCs/>
          <w:sz w:val="20"/>
          <w:szCs w:val="20"/>
        </w:rPr>
      </w:pPr>
      <w:r>
        <w:rPr>
          <w:rFonts w:ascii="Tahoma" w:hAnsi="Tahoma" w:cs="Tahoma"/>
          <w:bCs/>
          <w:sz w:val="20"/>
          <w:szCs w:val="20"/>
        </w:rPr>
        <w:t>Procediamo ad un esempio numerico</w:t>
      </w:r>
      <w:r w:rsidR="00D67624">
        <w:rPr>
          <w:rFonts w:ascii="Tahoma" w:hAnsi="Tahoma" w:cs="Tahoma"/>
          <w:bCs/>
          <w:sz w:val="20"/>
          <w:szCs w:val="20"/>
        </w:rPr>
        <w:t>, in una spa</w:t>
      </w:r>
      <w:r>
        <w:rPr>
          <w:rFonts w:ascii="Tahoma" w:hAnsi="Tahoma" w:cs="Tahoma"/>
          <w:bCs/>
          <w:sz w:val="20"/>
          <w:szCs w:val="20"/>
        </w:rPr>
        <w:t>.</w:t>
      </w:r>
    </w:p>
    <w:p w14:paraId="447E7E38" w14:textId="5A52E6EB" w:rsidR="008F11B4" w:rsidRDefault="008F11B4" w:rsidP="00B15171">
      <w:pPr>
        <w:spacing w:after="200" w:line="360" w:lineRule="auto"/>
        <w:jc w:val="both"/>
        <w:rPr>
          <w:rFonts w:ascii="Tahoma" w:hAnsi="Tahoma" w:cs="Tahoma"/>
          <w:bCs/>
          <w:sz w:val="20"/>
          <w:szCs w:val="20"/>
        </w:rPr>
      </w:pPr>
      <w:r>
        <w:rPr>
          <w:rFonts w:ascii="Tahoma" w:hAnsi="Tahoma" w:cs="Tahoma"/>
          <w:bCs/>
          <w:sz w:val="20"/>
          <w:szCs w:val="20"/>
        </w:rPr>
        <w:t xml:space="preserve">Capitale sociale: </w:t>
      </w:r>
      <w:r w:rsidR="00D67624">
        <w:rPr>
          <w:rFonts w:ascii="Tahoma" w:hAnsi="Tahoma" w:cs="Tahoma"/>
          <w:bCs/>
          <w:sz w:val="20"/>
          <w:szCs w:val="20"/>
        </w:rPr>
        <w:t>100.000 Euro</w:t>
      </w:r>
    </w:p>
    <w:p w14:paraId="60DEB8DF" w14:textId="2603DA4C" w:rsidR="008F11B4" w:rsidRDefault="00D67624" w:rsidP="00B15171">
      <w:pPr>
        <w:spacing w:after="200" w:line="360" w:lineRule="auto"/>
        <w:jc w:val="both"/>
        <w:rPr>
          <w:rFonts w:ascii="Tahoma" w:hAnsi="Tahoma" w:cs="Tahoma"/>
          <w:bCs/>
          <w:sz w:val="20"/>
          <w:szCs w:val="20"/>
        </w:rPr>
      </w:pPr>
      <w:r>
        <w:rPr>
          <w:rFonts w:ascii="Tahoma" w:hAnsi="Tahoma" w:cs="Tahoma"/>
          <w:bCs/>
          <w:sz w:val="20"/>
          <w:szCs w:val="20"/>
        </w:rPr>
        <w:t>Riserva legale: 20.000 Euro</w:t>
      </w:r>
    </w:p>
    <w:p w14:paraId="01D3C55B" w14:textId="47A26044" w:rsidR="00D67624" w:rsidRDefault="00D67624" w:rsidP="00B15171">
      <w:pPr>
        <w:spacing w:after="200" w:line="360" w:lineRule="auto"/>
        <w:jc w:val="both"/>
        <w:rPr>
          <w:rFonts w:ascii="Tahoma" w:hAnsi="Tahoma" w:cs="Tahoma"/>
          <w:bCs/>
          <w:sz w:val="20"/>
          <w:szCs w:val="20"/>
        </w:rPr>
      </w:pPr>
      <w:r>
        <w:rPr>
          <w:rFonts w:ascii="Tahoma" w:hAnsi="Tahoma" w:cs="Tahoma"/>
          <w:bCs/>
          <w:sz w:val="20"/>
          <w:szCs w:val="20"/>
        </w:rPr>
        <w:t xml:space="preserve">Perdite 2020, 2021, 2022: 70.000 Euro </w:t>
      </w:r>
    </w:p>
    <w:p w14:paraId="05EDF5DA" w14:textId="4F7D803C" w:rsidR="00D67624" w:rsidRDefault="00D67624" w:rsidP="00B15171">
      <w:pPr>
        <w:spacing w:after="200" w:line="360" w:lineRule="auto"/>
        <w:jc w:val="both"/>
        <w:rPr>
          <w:rFonts w:ascii="Tahoma" w:hAnsi="Tahoma" w:cs="Tahoma"/>
          <w:bCs/>
          <w:sz w:val="20"/>
          <w:szCs w:val="20"/>
        </w:rPr>
      </w:pPr>
      <w:r>
        <w:rPr>
          <w:rFonts w:ascii="Tahoma" w:hAnsi="Tahoma" w:cs="Tahoma"/>
          <w:bCs/>
          <w:sz w:val="20"/>
          <w:szCs w:val="20"/>
        </w:rPr>
        <w:t xml:space="preserve">Perdita 2023: </w:t>
      </w:r>
      <w:r w:rsidR="00552DDF">
        <w:rPr>
          <w:rFonts w:ascii="Tahoma" w:hAnsi="Tahoma" w:cs="Tahoma"/>
          <w:bCs/>
          <w:sz w:val="20"/>
          <w:szCs w:val="20"/>
        </w:rPr>
        <w:t>40</w:t>
      </w:r>
      <w:r>
        <w:rPr>
          <w:rFonts w:ascii="Tahoma" w:hAnsi="Tahoma" w:cs="Tahoma"/>
          <w:bCs/>
          <w:sz w:val="20"/>
          <w:szCs w:val="20"/>
        </w:rPr>
        <w:t>.000 Euro</w:t>
      </w:r>
    </w:p>
    <w:p w14:paraId="66201BF0" w14:textId="70A80B3C" w:rsidR="008F11B4" w:rsidRDefault="00D67624" w:rsidP="00B15171">
      <w:pPr>
        <w:spacing w:after="200" w:line="360" w:lineRule="auto"/>
        <w:jc w:val="both"/>
        <w:rPr>
          <w:rFonts w:ascii="Tahoma" w:hAnsi="Tahoma" w:cs="Tahoma"/>
          <w:bCs/>
          <w:sz w:val="20"/>
          <w:szCs w:val="20"/>
        </w:rPr>
      </w:pPr>
      <w:r w:rsidRPr="00493351">
        <w:rPr>
          <w:rFonts w:ascii="Tahoma" w:hAnsi="Tahoma" w:cs="Tahoma"/>
          <w:b/>
          <w:i/>
          <w:iCs/>
          <w:sz w:val="20"/>
          <w:szCs w:val="20"/>
        </w:rPr>
        <w:t>I posizione</w:t>
      </w:r>
      <w:r>
        <w:rPr>
          <w:rFonts w:ascii="Tahoma" w:hAnsi="Tahoma" w:cs="Tahoma"/>
          <w:bCs/>
          <w:sz w:val="20"/>
          <w:szCs w:val="20"/>
        </w:rPr>
        <w:t xml:space="preserve">: il confronto per verificare la rilevanza va eseguito sul totale delle perdite. </w:t>
      </w:r>
      <w:r w:rsidR="00552DDF">
        <w:rPr>
          <w:rFonts w:ascii="Tahoma" w:hAnsi="Tahoma" w:cs="Tahoma"/>
          <w:bCs/>
          <w:sz w:val="20"/>
          <w:szCs w:val="20"/>
        </w:rPr>
        <w:t xml:space="preserve">Di conseguenza </w:t>
      </w:r>
      <w:r>
        <w:rPr>
          <w:rFonts w:ascii="Tahoma" w:hAnsi="Tahoma" w:cs="Tahoma"/>
          <w:bCs/>
          <w:sz w:val="20"/>
          <w:szCs w:val="20"/>
        </w:rPr>
        <w:t>le perdite cumula</w:t>
      </w:r>
      <w:r w:rsidR="00552DDF">
        <w:rPr>
          <w:rFonts w:ascii="Tahoma" w:hAnsi="Tahoma" w:cs="Tahoma"/>
          <w:bCs/>
          <w:sz w:val="20"/>
          <w:szCs w:val="20"/>
        </w:rPr>
        <w:t>t</w:t>
      </w:r>
      <w:r>
        <w:rPr>
          <w:rFonts w:ascii="Tahoma" w:hAnsi="Tahoma" w:cs="Tahoma"/>
          <w:bCs/>
          <w:sz w:val="20"/>
          <w:szCs w:val="20"/>
        </w:rPr>
        <w:t xml:space="preserve">e sono </w:t>
      </w:r>
      <w:r w:rsidR="00552DDF">
        <w:rPr>
          <w:rFonts w:ascii="Tahoma" w:hAnsi="Tahoma" w:cs="Tahoma"/>
          <w:bCs/>
          <w:sz w:val="20"/>
          <w:szCs w:val="20"/>
        </w:rPr>
        <w:t>11</w:t>
      </w:r>
      <w:r>
        <w:rPr>
          <w:rFonts w:ascii="Tahoma" w:hAnsi="Tahoma" w:cs="Tahoma"/>
          <w:bCs/>
          <w:sz w:val="20"/>
          <w:szCs w:val="20"/>
        </w:rPr>
        <w:t>0.000</w:t>
      </w:r>
      <w:r w:rsidR="00552DDF">
        <w:rPr>
          <w:rFonts w:ascii="Tahoma" w:hAnsi="Tahoma" w:cs="Tahoma"/>
          <w:bCs/>
          <w:sz w:val="20"/>
          <w:szCs w:val="20"/>
        </w:rPr>
        <w:t xml:space="preserve"> Euro</w:t>
      </w:r>
      <w:r>
        <w:rPr>
          <w:rFonts w:ascii="Tahoma" w:hAnsi="Tahoma" w:cs="Tahoma"/>
          <w:bCs/>
          <w:sz w:val="20"/>
          <w:szCs w:val="20"/>
        </w:rPr>
        <w:t xml:space="preserve">, e quindi dopo l’eliminazione della riserva, le perdite residue </w:t>
      </w:r>
      <w:r w:rsidR="00552DDF">
        <w:rPr>
          <w:rFonts w:ascii="Tahoma" w:hAnsi="Tahoma" w:cs="Tahoma"/>
          <w:bCs/>
          <w:sz w:val="20"/>
          <w:szCs w:val="20"/>
        </w:rPr>
        <w:t xml:space="preserve">(90.000 Euro) </w:t>
      </w:r>
      <w:r>
        <w:rPr>
          <w:rFonts w:ascii="Tahoma" w:hAnsi="Tahoma" w:cs="Tahoma"/>
          <w:bCs/>
          <w:sz w:val="20"/>
          <w:szCs w:val="20"/>
        </w:rPr>
        <w:t>sono tali</w:t>
      </w:r>
      <w:r w:rsidR="00552DDF">
        <w:rPr>
          <w:rFonts w:ascii="Tahoma" w:hAnsi="Tahoma" w:cs="Tahoma"/>
          <w:bCs/>
          <w:sz w:val="20"/>
          <w:szCs w:val="20"/>
        </w:rPr>
        <w:t xml:space="preserve"> da superare il terzo del capitale e ridurlo al di sotto del minimo legale di 50.000 Euro, con emersione della fattispecie di cui all’art. 2447 c.c..</w:t>
      </w:r>
    </w:p>
    <w:p w14:paraId="609E1046" w14:textId="385AB742" w:rsidR="00552DDF" w:rsidRDefault="00552DDF" w:rsidP="00B15171">
      <w:pPr>
        <w:spacing w:after="200" w:line="360" w:lineRule="auto"/>
        <w:jc w:val="both"/>
        <w:rPr>
          <w:rFonts w:ascii="Tahoma" w:hAnsi="Tahoma" w:cs="Tahoma"/>
          <w:bCs/>
          <w:sz w:val="20"/>
          <w:szCs w:val="20"/>
        </w:rPr>
      </w:pPr>
      <w:r w:rsidRPr="00196E4D">
        <w:rPr>
          <w:rFonts w:ascii="Tahoma" w:hAnsi="Tahoma" w:cs="Tahoma"/>
          <w:b/>
          <w:i/>
          <w:iCs/>
          <w:sz w:val="20"/>
          <w:szCs w:val="20"/>
        </w:rPr>
        <w:t>II posizione</w:t>
      </w:r>
      <w:r>
        <w:rPr>
          <w:rFonts w:ascii="Tahoma" w:hAnsi="Tahoma" w:cs="Tahoma"/>
          <w:bCs/>
          <w:sz w:val="20"/>
          <w:szCs w:val="20"/>
        </w:rPr>
        <w:t>: le perdite sterilizzate anteriori al 2023 non rilevano e quindi il confronto va fatto considerando solo le perdite 2023. Pertanto, dopo l’utilizzo della riserva rilevano le sole perdite residue (20.000 Euro), che però sono al di sotto del terzo del capitale e quindi non emerge alcuna situazione rilevante.</w:t>
      </w:r>
    </w:p>
    <w:p w14:paraId="6FA972AC" w14:textId="77777777" w:rsidR="00552DDF" w:rsidRDefault="00552DDF" w:rsidP="00B15171">
      <w:pPr>
        <w:spacing w:after="200" w:line="360" w:lineRule="auto"/>
        <w:jc w:val="both"/>
        <w:rPr>
          <w:rFonts w:ascii="Tahoma" w:hAnsi="Tahoma" w:cs="Tahoma"/>
          <w:bCs/>
          <w:sz w:val="20"/>
          <w:szCs w:val="20"/>
        </w:rPr>
      </w:pPr>
      <w:r>
        <w:rPr>
          <w:rFonts w:ascii="Tahoma" w:hAnsi="Tahoma" w:cs="Tahoma"/>
          <w:bCs/>
          <w:sz w:val="20"/>
          <w:szCs w:val="20"/>
        </w:rPr>
        <w:t xml:space="preserve">Lo scrivente propende per tale seconda ipotesi, in quanto cumulare le perdite 2023 con le perdite sterilizzate </w:t>
      </w:r>
      <w:r>
        <w:rPr>
          <w:rFonts w:ascii="Tahoma" w:hAnsi="Tahoma" w:cs="Tahoma"/>
          <w:bCs/>
          <w:i/>
          <w:iCs/>
          <w:sz w:val="20"/>
          <w:szCs w:val="20"/>
        </w:rPr>
        <w:t xml:space="preserve">ante </w:t>
      </w:r>
      <w:r>
        <w:rPr>
          <w:rFonts w:ascii="Tahoma" w:hAnsi="Tahoma" w:cs="Tahoma"/>
          <w:bCs/>
          <w:sz w:val="20"/>
          <w:szCs w:val="20"/>
        </w:rPr>
        <w:t>2023 comporterebbe in via pratica l’eliminazione dell’obiettivo agevolativo della norma emergenziale.</w:t>
      </w:r>
    </w:p>
    <w:p w14:paraId="7A7F84A3" w14:textId="61A989C8" w:rsidR="00552DDF" w:rsidRPr="00552DDF" w:rsidRDefault="00552DDF" w:rsidP="00B15171">
      <w:pPr>
        <w:spacing w:after="200" w:line="360" w:lineRule="auto"/>
        <w:jc w:val="both"/>
        <w:rPr>
          <w:rFonts w:ascii="Tahoma" w:hAnsi="Tahoma" w:cs="Tahoma"/>
          <w:bCs/>
          <w:sz w:val="20"/>
          <w:szCs w:val="20"/>
        </w:rPr>
      </w:pPr>
      <w:r>
        <w:rPr>
          <w:rFonts w:ascii="Tahoma" w:hAnsi="Tahoma" w:cs="Tahoma"/>
          <w:bCs/>
          <w:sz w:val="20"/>
          <w:szCs w:val="20"/>
        </w:rPr>
        <w:t xml:space="preserve">Pertanto, se le perdite degli anni precedenti sono state sterilizzate, è sostenibile che le perdite 2023 vadano considerate da sole ai fini del confronto con le riserve e con il capitale. </w:t>
      </w:r>
    </w:p>
    <w:p w14:paraId="5444C019" w14:textId="77777777" w:rsidR="008F11B4" w:rsidRPr="00196E4D" w:rsidRDefault="008F11B4" w:rsidP="00B15171">
      <w:pPr>
        <w:spacing w:after="200" w:line="360" w:lineRule="auto"/>
        <w:jc w:val="both"/>
        <w:rPr>
          <w:rFonts w:ascii="Tahoma" w:hAnsi="Tahoma" w:cs="Tahoma"/>
          <w:bCs/>
          <w:sz w:val="20"/>
          <w:szCs w:val="20"/>
        </w:rPr>
      </w:pPr>
    </w:p>
    <w:p w14:paraId="1AEE1E0E" w14:textId="4D59BA1B" w:rsidR="00924FED" w:rsidRPr="00B15171" w:rsidRDefault="00A8032F" w:rsidP="00B15171">
      <w:pPr>
        <w:pStyle w:val="Titolo2"/>
      </w:pPr>
      <w:bookmarkStart w:id="22" w:name="_Toc161309108"/>
      <w:r>
        <w:t>5</w:t>
      </w:r>
      <w:r w:rsidR="00880834" w:rsidRPr="00B15171">
        <w:t>.</w:t>
      </w:r>
      <w:r w:rsidR="00552DDF">
        <w:t>5</w:t>
      </w:r>
      <w:r w:rsidR="00880834" w:rsidRPr="00B15171">
        <w:t xml:space="preserve"> Il ruolo dei sindaci</w:t>
      </w:r>
      <w:bookmarkEnd w:id="22"/>
    </w:p>
    <w:p w14:paraId="3C03D148" w14:textId="77777777" w:rsidR="000973CD" w:rsidRPr="00B15171" w:rsidRDefault="00880834" w:rsidP="00B15171">
      <w:pPr>
        <w:spacing w:after="200" w:line="360" w:lineRule="auto"/>
        <w:jc w:val="both"/>
        <w:rPr>
          <w:rFonts w:ascii="Tahoma" w:hAnsi="Tahoma" w:cs="Tahoma"/>
          <w:sz w:val="20"/>
          <w:szCs w:val="20"/>
        </w:rPr>
      </w:pPr>
      <w:r w:rsidRPr="00B15171">
        <w:rPr>
          <w:rFonts w:ascii="Tahoma" w:hAnsi="Tahoma" w:cs="Tahoma"/>
          <w:sz w:val="20"/>
          <w:szCs w:val="20"/>
        </w:rPr>
        <w:t>Il ruolo dei sindaci in connessione alla peculiare disciplina delle perdite assume rilevanza fondamentale.</w:t>
      </w:r>
    </w:p>
    <w:p w14:paraId="79809AF5" w14:textId="4A565509" w:rsidR="00880834" w:rsidRPr="00B15171" w:rsidRDefault="00880834" w:rsidP="00B15171">
      <w:pPr>
        <w:spacing w:after="200" w:line="360" w:lineRule="auto"/>
        <w:jc w:val="both"/>
        <w:rPr>
          <w:rFonts w:ascii="Tahoma" w:hAnsi="Tahoma" w:cs="Tahoma"/>
          <w:sz w:val="20"/>
          <w:szCs w:val="20"/>
        </w:rPr>
      </w:pPr>
      <w:r w:rsidRPr="00B15171">
        <w:rPr>
          <w:rFonts w:ascii="Tahoma" w:hAnsi="Tahoma" w:cs="Tahoma"/>
          <w:sz w:val="20"/>
          <w:szCs w:val="20"/>
        </w:rPr>
        <w:t>Innanzitutto permane sussistente la responsabilità dei sindaci di procedere alla convocazione delle assemblee in caso di perdite rilevanti, qualora gli amministratori restino inerti e non procedano alla convocazione.</w:t>
      </w:r>
      <w:r w:rsidR="00A816EE">
        <w:rPr>
          <w:rFonts w:ascii="Tahoma" w:hAnsi="Tahoma" w:cs="Tahoma"/>
          <w:sz w:val="20"/>
          <w:szCs w:val="20"/>
        </w:rPr>
        <w:t xml:space="preserve"> </w:t>
      </w:r>
    </w:p>
    <w:p w14:paraId="55C5A71B" w14:textId="18A9824D" w:rsidR="00880834" w:rsidRPr="00B15171" w:rsidRDefault="00880834" w:rsidP="00B15171">
      <w:pPr>
        <w:spacing w:after="200" w:line="360" w:lineRule="auto"/>
        <w:jc w:val="both"/>
        <w:rPr>
          <w:rFonts w:ascii="Tahoma" w:hAnsi="Tahoma" w:cs="Tahoma"/>
          <w:sz w:val="20"/>
          <w:szCs w:val="20"/>
        </w:rPr>
      </w:pPr>
      <w:r w:rsidRPr="00B15171">
        <w:rPr>
          <w:rFonts w:ascii="Tahoma" w:hAnsi="Tahoma" w:cs="Tahoma"/>
          <w:sz w:val="20"/>
          <w:szCs w:val="20"/>
        </w:rPr>
        <w:t>L’obbligo di convocazione dell’assemblea senza indugio nei due casi di perdita rilevante</w:t>
      </w:r>
      <w:r w:rsidR="006E7001" w:rsidRPr="00B15171">
        <w:rPr>
          <w:rFonts w:ascii="Tahoma" w:hAnsi="Tahoma" w:cs="Tahoma"/>
          <w:sz w:val="20"/>
          <w:szCs w:val="20"/>
        </w:rPr>
        <w:t xml:space="preserve"> </w:t>
      </w:r>
      <w:r w:rsidRPr="00B15171">
        <w:rPr>
          <w:rFonts w:ascii="Tahoma" w:hAnsi="Tahoma" w:cs="Tahoma"/>
          <w:sz w:val="20"/>
          <w:szCs w:val="20"/>
        </w:rPr>
        <w:t>permane</w:t>
      </w:r>
      <w:r w:rsidR="00552DDF">
        <w:rPr>
          <w:rFonts w:ascii="Tahoma" w:hAnsi="Tahoma" w:cs="Tahoma"/>
          <w:sz w:val="20"/>
          <w:szCs w:val="20"/>
        </w:rPr>
        <w:t>va</w:t>
      </w:r>
      <w:r w:rsidR="008616E3" w:rsidRPr="00B15171">
        <w:rPr>
          <w:rFonts w:ascii="Tahoma" w:hAnsi="Tahoma" w:cs="Tahoma"/>
          <w:sz w:val="20"/>
          <w:szCs w:val="20"/>
        </w:rPr>
        <w:t xml:space="preserve"> nel caso delle perdite </w:t>
      </w:r>
      <w:r w:rsidR="00552DDF">
        <w:rPr>
          <w:rFonts w:ascii="Tahoma" w:hAnsi="Tahoma" w:cs="Tahoma"/>
          <w:sz w:val="20"/>
          <w:szCs w:val="20"/>
        </w:rPr>
        <w:t xml:space="preserve">sospese </w:t>
      </w:r>
      <w:r w:rsidR="008616E3" w:rsidRPr="00B15171">
        <w:rPr>
          <w:rFonts w:ascii="Tahoma" w:hAnsi="Tahoma" w:cs="Tahoma"/>
          <w:sz w:val="20"/>
          <w:szCs w:val="20"/>
        </w:rPr>
        <w:t>2020</w:t>
      </w:r>
      <w:r w:rsidR="001705CD" w:rsidRPr="00B15171">
        <w:rPr>
          <w:rFonts w:ascii="Tahoma" w:hAnsi="Tahoma" w:cs="Tahoma"/>
          <w:sz w:val="20"/>
          <w:szCs w:val="20"/>
        </w:rPr>
        <w:t>, 2021 e 2022</w:t>
      </w:r>
      <w:r w:rsidRPr="00B15171">
        <w:rPr>
          <w:rFonts w:ascii="Tahoma" w:hAnsi="Tahoma" w:cs="Tahoma"/>
          <w:sz w:val="20"/>
          <w:szCs w:val="20"/>
        </w:rPr>
        <w:t>, anche se la legge ha consentito i</w:t>
      </w:r>
      <w:r w:rsidR="00FF27DD" w:rsidRPr="00B15171">
        <w:rPr>
          <w:rFonts w:ascii="Tahoma" w:hAnsi="Tahoma" w:cs="Tahoma"/>
          <w:sz w:val="20"/>
          <w:szCs w:val="20"/>
        </w:rPr>
        <w:t>l differimento dei provvedimenti</w:t>
      </w:r>
      <w:r w:rsidRPr="00B15171">
        <w:rPr>
          <w:rFonts w:ascii="Tahoma" w:hAnsi="Tahoma" w:cs="Tahoma"/>
          <w:sz w:val="20"/>
          <w:szCs w:val="20"/>
        </w:rPr>
        <w:t xml:space="preserve"> di copertura e la sospensione della causa di scioglimento.</w:t>
      </w:r>
    </w:p>
    <w:p w14:paraId="1AA8ABA0" w14:textId="523F0C6D" w:rsidR="00880834"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lastRenderedPageBreak/>
        <w:t>È</w:t>
      </w:r>
      <w:r w:rsidR="00643A0F" w:rsidRPr="00B15171">
        <w:rPr>
          <w:rFonts w:ascii="Tahoma" w:hAnsi="Tahoma" w:cs="Tahoma"/>
          <w:sz w:val="20"/>
          <w:szCs w:val="20"/>
        </w:rPr>
        <w:t xml:space="preserve"> quindi evidente che il dovere dei sindaci permane</w:t>
      </w:r>
      <w:r w:rsidR="00552DDF">
        <w:rPr>
          <w:rFonts w:ascii="Tahoma" w:hAnsi="Tahoma" w:cs="Tahoma"/>
          <w:sz w:val="20"/>
          <w:szCs w:val="20"/>
        </w:rPr>
        <w:t>va</w:t>
      </w:r>
      <w:r w:rsidR="00643A0F" w:rsidRPr="00B15171">
        <w:rPr>
          <w:rFonts w:ascii="Tahoma" w:hAnsi="Tahoma" w:cs="Tahoma"/>
          <w:sz w:val="20"/>
          <w:szCs w:val="20"/>
        </w:rPr>
        <w:t xml:space="preserve"> identico a quello </w:t>
      </w:r>
      <w:r w:rsidR="00FF27DD" w:rsidRPr="00B15171">
        <w:rPr>
          <w:rFonts w:ascii="Tahoma" w:hAnsi="Tahoma" w:cs="Tahoma"/>
          <w:sz w:val="20"/>
          <w:szCs w:val="20"/>
        </w:rPr>
        <w:t>imposto dalla legge</w:t>
      </w:r>
      <w:r w:rsidR="00643A0F" w:rsidRPr="00B15171">
        <w:rPr>
          <w:rFonts w:ascii="Tahoma" w:hAnsi="Tahoma" w:cs="Tahoma"/>
          <w:sz w:val="20"/>
          <w:szCs w:val="20"/>
        </w:rPr>
        <w:t xml:space="preserve"> in ipotesi di ordinaria attività.</w:t>
      </w:r>
    </w:p>
    <w:p w14:paraId="53CCD36B" w14:textId="11DBAF8E" w:rsidR="00643A0F" w:rsidRPr="00B15171" w:rsidRDefault="00643A0F" w:rsidP="00B15171">
      <w:pPr>
        <w:spacing w:after="200" w:line="360" w:lineRule="auto"/>
        <w:jc w:val="both"/>
        <w:rPr>
          <w:rFonts w:ascii="Tahoma" w:hAnsi="Tahoma" w:cs="Tahoma"/>
          <w:sz w:val="20"/>
          <w:szCs w:val="20"/>
        </w:rPr>
      </w:pPr>
      <w:r w:rsidRPr="00B15171">
        <w:rPr>
          <w:rFonts w:ascii="Tahoma" w:hAnsi="Tahoma" w:cs="Tahoma"/>
          <w:sz w:val="20"/>
          <w:szCs w:val="20"/>
        </w:rPr>
        <w:t>Al verificarsi dei presupposti di legge, come previsto dalla Norma 11.1</w:t>
      </w:r>
      <w:r w:rsidR="009F685C">
        <w:rPr>
          <w:rFonts w:ascii="Tahoma" w:hAnsi="Tahoma" w:cs="Tahoma"/>
          <w:sz w:val="20"/>
          <w:szCs w:val="20"/>
        </w:rPr>
        <w:t>0</w:t>
      </w:r>
      <w:r w:rsidRPr="00B15171">
        <w:rPr>
          <w:rFonts w:ascii="Tahoma" w:hAnsi="Tahoma" w:cs="Tahoma"/>
          <w:sz w:val="20"/>
          <w:szCs w:val="20"/>
        </w:rPr>
        <w:t xml:space="preserve"> delle NCCS, i sindaci devono vigilare che l’organo amministrativo provveda alla tempestiva convocazione dell’assemblea e alla redazione della relazione sulla situazione patrimoniale della società, sulla quale i sindaci devono redigere le proprie osservazioni.</w:t>
      </w:r>
    </w:p>
    <w:p w14:paraId="73D795D8" w14:textId="77777777" w:rsidR="00643A0F" w:rsidRPr="00B15171" w:rsidRDefault="00643A0F" w:rsidP="00B15171">
      <w:pPr>
        <w:spacing w:after="200" w:line="360" w:lineRule="auto"/>
        <w:jc w:val="both"/>
        <w:rPr>
          <w:rFonts w:ascii="Tahoma" w:hAnsi="Tahoma" w:cs="Tahoma"/>
          <w:sz w:val="20"/>
          <w:szCs w:val="20"/>
        </w:rPr>
      </w:pPr>
      <w:r w:rsidRPr="00B15171">
        <w:rPr>
          <w:rFonts w:ascii="Tahoma" w:hAnsi="Tahoma" w:cs="Tahoma"/>
          <w:sz w:val="20"/>
          <w:szCs w:val="20"/>
        </w:rPr>
        <w:t>Qualora gli amministratori non provvedano senza indugio alla convocazione, l’incombenza passa sui sindaci.</w:t>
      </w:r>
    </w:p>
    <w:p w14:paraId="309C87D7" w14:textId="61CBBB38" w:rsidR="00643A0F" w:rsidRPr="00B15171" w:rsidRDefault="00643A0F" w:rsidP="00B15171">
      <w:pPr>
        <w:spacing w:after="200" w:line="360" w:lineRule="auto"/>
        <w:jc w:val="both"/>
        <w:rPr>
          <w:rFonts w:ascii="Tahoma" w:hAnsi="Tahoma" w:cs="Tahoma"/>
          <w:sz w:val="20"/>
          <w:szCs w:val="20"/>
        </w:rPr>
      </w:pPr>
      <w:r w:rsidRPr="00B15171">
        <w:rPr>
          <w:rFonts w:ascii="Tahoma" w:hAnsi="Tahoma" w:cs="Tahoma"/>
          <w:sz w:val="20"/>
          <w:szCs w:val="20"/>
        </w:rPr>
        <w:t>Si applica per la convocazione operata in luogo degli amministratori la Norma</w:t>
      </w:r>
      <w:r w:rsidR="00132210" w:rsidRPr="00B15171">
        <w:rPr>
          <w:rFonts w:ascii="Tahoma" w:hAnsi="Tahoma" w:cs="Tahoma"/>
          <w:sz w:val="20"/>
          <w:szCs w:val="20"/>
        </w:rPr>
        <w:t xml:space="preserve"> 9.1 delle NCCS, che evidenzia</w:t>
      </w:r>
      <w:r w:rsidRPr="00B15171">
        <w:rPr>
          <w:rFonts w:ascii="Tahoma" w:hAnsi="Tahoma" w:cs="Tahoma"/>
          <w:sz w:val="20"/>
          <w:szCs w:val="20"/>
        </w:rPr>
        <w:t xml:space="preserve"> che, qualora i sindaci rilevino il ritardo degli amministratori, debbano comunque dapprima sollecitare l’organo amministrativo ad adempiere all’obbligo di legge. Se, all’esito del sollecito, gli amministratori persist</w:t>
      </w:r>
      <w:r w:rsidR="008616E3" w:rsidRPr="00B15171">
        <w:rPr>
          <w:rFonts w:ascii="Tahoma" w:hAnsi="Tahoma" w:cs="Tahoma"/>
          <w:sz w:val="20"/>
          <w:szCs w:val="20"/>
        </w:rPr>
        <w:t>o</w:t>
      </w:r>
      <w:r w:rsidRPr="00B15171">
        <w:rPr>
          <w:rFonts w:ascii="Tahoma" w:hAnsi="Tahoma" w:cs="Tahoma"/>
          <w:sz w:val="20"/>
          <w:szCs w:val="20"/>
        </w:rPr>
        <w:t>no nella loro inerzia</w:t>
      </w:r>
      <w:r w:rsidR="00A32DD4" w:rsidRPr="00B15171">
        <w:rPr>
          <w:rFonts w:ascii="Tahoma" w:hAnsi="Tahoma" w:cs="Tahoma"/>
          <w:sz w:val="20"/>
          <w:szCs w:val="20"/>
        </w:rPr>
        <w:t>, il collegio procede alla convocazione.</w:t>
      </w:r>
    </w:p>
    <w:p w14:paraId="00140D10" w14:textId="77777777"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Secondo la Norma 6.1 delle NCCS i sindaci, qualora provvedano a convocare l’assemblea, devono comunque dare preventiva comunicazione al presidente del consiglio di amministrazione, ove presente un organo di gestione pluripersonale, ovvero all’amministratore unico.</w:t>
      </w:r>
    </w:p>
    <w:p w14:paraId="1C45DD01" w14:textId="77777777"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I sindaci possono venire a conoscenza della situazione di perdita rilevante durante l’ordinaria attività di verifica trimestrale prevista dalla legge, ovvero da colloqui con gli amministratori o con dipendenti della società.</w:t>
      </w:r>
    </w:p>
    <w:p w14:paraId="05727EFB" w14:textId="12DCEA70"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Assume rilevanza decisiva, come già specificato, l’elemento temporale, in quanto la previsione dell’art. 2631 c.c. citato richiede che la convocazione dell’assemblea vada operata entro 30 giorni dalla data in cui la situazione di perdita rilevante giunge a conoscenza dell’organo amministrativo.</w:t>
      </w:r>
    </w:p>
    <w:p w14:paraId="147E1C82" w14:textId="01C8A648"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 xml:space="preserve">I sindaci devono poi a procedere a vigilare </w:t>
      </w:r>
      <w:r w:rsidR="00895AFC" w:rsidRPr="00B15171">
        <w:rPr>
          <w:rFonts w:ascii="Tahoma" w:hAnsi="Tahoma" w:cs="Tahoma"/>
          <w:sz w:val="20"/>
          <w:szCs w:val="20"/>
        </w:rPr>
        <w:t>sul</w:t>
      </w:r>
      <w:r w:rsidRPr="00B15171">
        <w:rPr>
          <w:rFonts w:ascii="Tahoma" w:hAnsi="Tahoma" w:cs="Tahoma"/>
          <w:sz w:val="20"/>
          <w:szCs w:val="20"/>
        </w:rPr>
        <w:t>la regolarità della procedura di convocazione dell’assemblea in caso di perdita superiore al terzo, ed in particolare che la relazione sulla situazione patrimoniale corredata con le proprie osservazioni sia posta a disposizione presso la sede sociale almeno per gli otto giorni anteriori all’assemblea e che nell’assemblea gli amministratori riferiscano su eventuali ulteriori circostanze avvenute tra la data della relazione e la data dell’assemblea.</w:t>
      </w:r>
    </w:p>
    <w:p w14:paraId="521A6009" w14:textId="5719CEE0"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I sindaci devono poi vigilare sulla conformità a legge della decisione dell’assemblea e sull’esecuzione della volontà assembleare.</w:t>
      </w:r>
    </w:p>
    <w:p w14:paraId="58E324B7" w14:textId="1ED6B778" w:rsidR="00A32DD4" w:rsidRPr="00B15171" w:rsidRDefault="00A32DD4" w:rsidP="00B15171">
      <w:pPr>
        <w:spacing w:after="200" w:line="360" w:lineRule="auto"/>
        <w:jc w:val="both"/>
        <w:rPr>
          <w:rFonts w:ascii="Tahoma" w:hAnsi="Tahoma" w:cs="Tahoma"/>
          <w:sz w:val="20"/>
          <w:szCs w:val="20"/>
        </w:rPr>
      </w:pPr>
      <w:r w:rsidRPr="00B15171">
        <w:rPr>
          <w:rFonts w:ascii="Tahoma" w:hAnsi="Tahoma" w:cs="Tahoma"/>
          <w:sz w:val="20"/>
          <w:szCs w:val="20"/>
        </w:rPr>
        <w:t>Nel caso di perdita superiore al terzo che lo riduca al di sotto del minimo legale, come detto, la legge non prevede</w:t>
      </w:r>
      <w:r w:rsidR="008616E3" w:rsidRPr="00B15171">
        <w:rPr>
          <w:rFonts w:ascii="Tahoma" w:hAnsi="Tahoma" w:cs="Tahoma"/>
          <w:sz w:val="20"/>
          <w:szCs w:val="20"/>
        </w:rPr>
        <w:t xml:space="preserve"> espressamente</w:t>
      </w:r>
      <w:r w:rsidRPr="00B15171">
        <w:rPr>
          <w:rFonts w:ascii="Tahoma" w:hAnsi="Tahoma" w:cs="Tahoma"/>
          <w:sz w:val="20"/>
          <w:szCs w:val="20"/>
        </w:rPr>
        <w:t xml:space="preserve"> un intervento dei sindaci in caso di inerzia degli amministratori, ma la dottrina prevalente propende per una interpretazione analogica e quindi, anche in tal caso, i sindaci devono vigilare sull’operato egli amministratori</w:t>
      </w:r>
      <w:r w:rsidR="00132210" w:rsidRPr="00B15171">
        <w:rPr>
          <w:rFonts w:ascii="Tahoma" w:hAnsi="Tahoma" w:cs="Tahoma"/>
          <w:sz w:val="20"/>
          <w:szCs w:val="20"/>
        </w:rPr>
        <w:t xml:space="preserve"> ed agire in caso di loro inerzia</w:t>
      </w:r>
      <w:r w:rsidRPr="00B15171">
        <w:rPr>
          <w:rFonts w:ascii="Tahoma" w:hAnsi="Tahoma" w:cs="Tahoma"/>
          <w:sz w:val="20"/>
          <w:szCs w:val="20"/>
        </w:rPr>
        <w:t>.</w:t>
      </w:r>
    </w:p>
    <w:p w14:paraId="4DC16E2A" w14:textId="392FF8E4" w:rsidR="007F1E4B" w:rsidRPr="00B15171" w:rsidRDefault="00D62AE5" w:rsidP="00B15171">
      <w:pPr>
        <w:spacing w:after="200" w:line="360" w:lineRule="auto"/>
        <w:jc w:val="both"/>
        <w:rPr>
          <w:rFonts w:ascii="Tahoma" w:hAnsi="Tahoma" w:cs="Tahoma"/>
          <w:sz w:val="20"/>
          <w:szCs w:val="20"/>
        </w:rPr>
      </w:pPr>
      <w:r w:rsidRPr="00B15171">
        <w:rPr>
          <w:rFonts w:ascii="Tahoma" w:hAnsi="Tahoma" w:cs="Tahoma"/>
          <w:sz w:val="20"/>
          <w:szCs w:val="20"/>
        </w:rPr>
        <w:t>L</w:t>
      </w:r>
      <w:r w:rsidR="009F1D1F" w:rsidRPr="00B15171">
        <w:rPr>
          <w:rFonts w:ascii="Tahoma" w:hAnsi="Tahoma" w:cs="Tahoma"/>
          <w:sz w:val="20"/>
          <w:szCs w:val="20"/>
        </w:rPr>
        <w:t xml:space="preserve">a disciplina specifica </w:t>
      </w:r>
      <w:r w:rsidR="007F1E4B" w:rsidRPr="00B15171">
        <w:rPr>
          <w:rFonts w:ascii="Tahoma" w:hAnsi="Tahoma" w:cs="Tahoma"/>
          <w:sz w:val="20"/>
          <w:szCs w:val="20"/>
        </w:rPr>
        <w:t xml:space="preserve">delle perdite rilevanti per </w:t>
      </w:r>
      <w:r w:rsidR="00867AB9" w:rsidRPr="00B15171">
        <w:rPr>
          <w:rFonts w:ascii="Tahoma" w:hAnsi="Tahoma" w:cs="Tahoma"/>
          <w:sz w:val="20"/>
          <w:szCs w:val="20"/>
        </w:rPr>
        <w:t>gli anni 2020</w:t>
      </w:r>
      <w:r w:rsidR="001705CD" w:rsidRPr="00B15171">
        <w:rPr>
          <w:rFonts w:ascii="Tahoma" w:hAnsi="Tahoma" w:cs="Tahoma"/>
          <w:sz w:val="20"/>
          <w:szCs w:val="20"/>
        </w:rPr>
        <w:t>, 2021</w:t>
      </w:r>
      <w:r w:rsidR="00867AB9" w:rsidRPr="00B15171">
        <w:rPr>
          <w:rFonts w:ascii="Tahoma" w:hAnsi="Tahoma" w:cs="Tahoma"/>
          <w:sz w:val="20"/>
          <w:szCs w:val="20"/>
        </w:rPr>
        <w:t xml:space="preserve"> e 202</w:t>
      </w:r>
      <w:r w:rsidR="001705CD" w:rsidRPr="00B15171">
        <w:rPr>
          <w:rFonts w:ascii="Tahoma" w:hAnsi="Tahoma" w:cs="Tahoma"/>
          <w:sz w:val="20"/>
          <w:szCs w:val="20"/>
        </w:rPr>
        <w:t>2</w:t>
      </w:r>
      <w:r w:rsidR="00867AB9" w:rsidRPr="00B15171">
        <w:rPr>
          <w:rFonts w:ascii="Tahoma" w:hAnsi="Tahoma" w:cs="Tahoma"/>
          <w:sz w:val="20"/>
          <w:szCs w:val="20"/>
        </w:rPr>
        <w:t xml:space="preserve"> </w:t>
      </w:r>
      <w:r w:rsidRPr="00B15171">
        <w:rPr>
          <w:rFonts w:ascii="Tahoma" w:hAnsi="Tahoma" w:cs="Tahoma"/>
          <w:sz w:val="20"/>
          <w:szCs w:val="20"/>
        </w:rPr>
        <w:t>lascia</w:t>
      </w:r>
      <w:r w:rsidR="009F685C">
        <w:rPr>
          <w:rFonts w:ascii="Tahoma" w:hAnsi="Tahoma" w:cs="Tahoma"/>
          <w:sz w:val="20"/>
          <w:szCs w:val="20"/>
        </w:rPr>
        <w:t>va</w:t>
      </w:r>
      <w:r w:rsidRPr="00B15171">
        <w:rPr>
          <w:rFonts w:ascii="Tahoma" w:hAnsi="Tahoma" w:cs="Tahoma"/>
          <w:sz w:val="20"/>
          <w:szCs w:val="20"/>
        </w:rPr>
        <w:t xml:space="preserve"> inalterato </w:t>
      </w:r>
      <w:r w:rsidR="00132210" w:rsidRPr="00B15171">
        <w:rPr>
          <w:rFonts w:ascii="Tahoma" w:hAnsi="Tahoma" w:cs="Tahoma"/>
          <w:sz w:val="20"/>
          <w:szCs w:val="20"/>
        </w:rPr>
        <w:t xml:space="preserve">l’obbligo di </w:t>
      </w:r>
      <w:r w:rsidR="007F1E4B" w:rsidRPr="00B15171">
        <w:rPr>
          <w:rFonts w:ascii="Tahoma" w:hAnsi="Tahoma" w:cs="Tahoma"/>
          <w:sz w:val="20"/>
          <w:szCs w:val="20"/>
        </w:rPr>
        <w:t xml:space="preserve">convocazione delle assemblee e quindi dalla compiuta informativa per i soci. </w:t>
      </w:r>
      <w:r w:rsidR="009F685C">
        <w:rPr>
          <w:rFonts w:ascii="Tahoma" w:hAnsi="Tahoma" w:cs="Tahoma"/>
          <w:sz w:val="20"/>
          <w:szCs w:val="20"/>
        </w:rPr>
        <w:t>I</w:t>
      </w:r>
      <w:r w:rsidR="007F1E4B" w:rsidRPr="00B15171">
        <w:rPr>
          <w:rFonts w:ascii="Tahoma" w:hAnsi="Tahoma" w:cs="Tahoma"/>
          <w:sz w:val="20"/>
          <w:szCs w:val="20"/>
        </w:rPr>
        <w:t xml:space="preserve"> sindaci </w:t>
      </w:r>
      <w:r w:rsidR="009F685C">
        <w:rPr>
          <w:rFonts w:ascii="Tahoma" w:hAnsi="Tahoma" w:cs="Tahoma"/>
          <w:sz w:val="20"/>
          <w:szCs w:val="20"/>
        </w:rPr>
        <w:t xml:space="preserve">dovevano </w:t>
      </w:r>
      <w:r w:rsidR="007F1E4B" w:rsidRPr="00B15171">
        <w:rPr>
          <w:rFonts w:ascii="Tahoma" w:hAnsi="Tahoma" w:cs="Tahoma"/>
          <w:sz w:val="20"/>
          <w:szCs w:val="20"/>
        </w:rPr>
        <w:t>prestare particolare attenzione a che la possibilità di eseguire la copertura della perdita entro l’esercizio 2025</w:t>
      </w:r>
      <w:r w:rsidR="00867AB9" w:rsidRPr="00B15171">
        <w:rPr>
          <w:rFonts w:ascii="Tahoma" w:hAnsi="Tahoma" w:cs="Tahoma"/>
          <w:sz w:val="20"/>
          <w:szCs w:val="20"/>
        </w:rPr>
        <w:t xml:space="preserve">, per le </w:t>
      </w:r>
      <w:r w:rsidR="00867AB9" w:rsidRPr="00B15171">
        <w:rPr>
          <w:rFonts w:ascii="Tahoma" w:hAnsi="Tahoma" w:cs="Tahoma"/>
          <w:sz w:val="20"/>
          <w:szCs w:val="20"/>
        </w:rPr>
        <w:lastRenderedPageBreak/>
        <w:t>perdite 2020</w:t>
      </w:r>
      <w:r w:rsidR="001705CD" w:rsidRPr="00B15171">
        <w:rPr>
          <w:rFonts w:ascii="Tahoma" w:hAnsi="Tahoma" w:cs="Tahoma"/>
          <w:sz w:val="20"/>
          <w:szCs w:val="20"/>
        </w:rPr>
        <w:t xml:space="preserve">, </w:t>
      </w:r>
      <w:r w:rsidR="00867AB9" w:rsidRPr="00B15171">
        <w:rPr>
          <w:rFonts w:ascii="Tahoma" w:hAnsi="Tahoma" w:cs="Tahoma"/>
          <w:sz w:val="20"/>
          <w:szCs w:val="20"/>
        </w:rPr>
        <w:t>2026, per le perdite 2021</w:t>
      </w:r>
      <w:r w:rsidR="001705CD" w:rsidRPr="00B15171">
        <w:rPr>
          <w:rFonts w:ascii="Tahoma" w:hAnsi="Tahoma" w:cs="Tahoma"/>
          <w:sz w:val="20"/>
          <w:szCs w:val="20"/>
        </w:rPr>
        <w:t xml:space="preserve"> e 2027 per le perdite 2022</w:t>
      </w:r>
      <w:r w:rsidR="000C4800" w:rsidRPr="00B15171">
        <w:rPr>
          <w:rFonts w:ascii="Tahoma" w:hAnsi="Tahoma" w:cs="Tahoma"/>
          <w:sz w:val="20"/>
          <w:szCs w:val="20"/>
        </w:rPr>
        <w:t>,</w:t>
      </w:r>
      <w:r w:rsidR="007F1E4B" w:rsidRPr="00B15171">
        <w:rPr>
          <w:rFonts w:ascii="Tahoma" w:hAnsi="Tahoma" w:cs="Tahoma"/>
          <w:sz w:val="20"/>
          <w:szCs w:val="20"/>
        </w:rPr>
        <w:t xml:space="preserve"> non </w:t>
      </w:r>
      <w:r w:rsidR="009F685C">
        <w:rPr>
          <w:rFonts w:ascii="Tahoma" w:hAnsi="Tahoma" w:cs="Tahoma"/>
          <w:sz w:val="20"/>
          <w:szCs w:val="20"/>
        </w:rPr>
        <w:t xml:space="preserve">inducesse </w:t>
      </w:r>
      <w:r w:rsidR="007F1E4B" w:rsidRPr="00B15171">
        <w:rPr>
          <w:rFonts w:ascii="Tahoma" w:hAnsi="Tahoma" w:cs="Tahoma"/>
          <w:sz w:val="20"/>
          <w:szCs w:val="20"/>
        </w:rPr>
        <w:t>gli amministratori a sottovalutare, se non addirittura, omettere gli adempimenti di informativa ai soci.</w:t>
      </w:r>
    </w:p>
    <w:p w14:paraId="10AC1ACD" w14:textId="0E5A2DE5" w:rsidR="00F97E33" w:rsidRPr="00B15171" w:rsidRDefault="00F97E33" w:rsidP="00B15171">
      <w:pPr>
        <w:spacing w:after="200" w:line="360" w:lineRule="auto"/>
        <w:jc w:val="both"/>
        <w:rPr>
          <w:rFonts w:ascii="Tahoma" w:hAnsi="Tahoma" w:cs="Tahoma"/>
          <w:sz w:val="20"/>
          <w:szCs w:val="20"/>
        </w:rPr>
      </w:pPr>
      <w:r w:rsidRPr="00B15171">
        <w:rPr>
          <w:rFonts w:ascii="Tahoma" w:hAnsi="Tahoma" w:cs="Tahoma"/>
          <w:sz w:val="20"/>
          <w:szCs w:val="20"/>
        </w:rPr>
        <w:t>Altra verifica di legalità esistente in capo ai sindaci sarà quella di verificare se le perdite 2020</w:t>
      </w:r>
      <w:r w:rsidR="001705CD" w:rsidRPr="00B15171">
        <w:rPr>
          <w:rFonts w:ascii="Tahoma" w:hAnsi="Tahoma" w:cs="Tahoma"/>
          <w:sz w:val="20"/>
          <w:szCs w:val="20"/>
        </w:rPr>
        <w:t>,</w:t>
      </w:r>
      <w:r w:rsidR="00867AB9" w:rsidRPr="00B15171">
        <w:rPr>
          <w:rFonts w:ascii="Tahoma" w:hAnsi="Tahoma" w:cs="Tahoma"/>
          <w:sz w:val="20"/>
          <w:szCs w:val="20"/>
        </w:rPr>
        <w:t xml:space="preserve"> 2021 </w:t>
      </w:r>
      <w:r w:rsidR="001705CD" w:rsidRPr="00B15171">
        <w:rPr>
          <w:rFonts w:ascii="Tahoma" w:hAnsi="Tahoma" w:cs="Tahoma"/>
          <w:sz w:val="20"/>
          <w:szCs w:val="20"/>
        </w:rPr>
        <w:t xml:space="preserve">e 2022 </w:t>
      </w:r>
      <w:r w:rsidRPr="00B15171">
        <w:rPr>
          <w:rFonts w:ascii="Tahoma" w:hAnsi="Tahoma" w:cs="Tahoma"/>
          <w:sz w:val="20"/>
          <w:szCs w:val="20"/>
        </w:rPr>
        <w:t>siano state inserite in un apposito prospetto nella nota integrativa, corredato da una tabella che ne riporti le movimentazioni.</w:t>
      </w:r>
    </w:p>
    <w:p w14:paraId="358CE046" w14:textId="7A81A8B3" w:rsidR="00403081" w:rsidRPr="00B15171" w:rsidRDefault="00B15171" w:rsidP="00B15171">
      <w:pPr>
        <w:spacing w:after="200" w:line="360" w:lineRule="auto"/>
        <w:jc w:val="both"/>
        <w:rPr>
          <w:rFonts w:ascii="Tahoma" w:hAnsi="Tahoma" w:cs="Tahoma"/>
          <w:sz w:val="20"/>
          <w:szCs w:val="20"/>
        </w:rPr>
      </w:pPr>
      <w:r>
        <w:rPr>
          <w:rFonts w:ascii="Tahoma" w:hAnsi="Tahoma" w:cs="Tahoma"/>
          <w:sz w:val="20"/>
          <w:szCs w:val="20"/>
        </w:rPr>
        <w:t>È</w:t>
      </w:r>
      <w:r w:rsidR="00403081" w:rsidRPr="00B15171">
        <w:rPr>
          <w:rFonts w:ascii="Tahoma" w:hAnsi="Tahoma" w:cs="Tahoma"/>
          <w:sz w:val="20"/>
          <w:szCs w:val="20"/>
        </w:rPr>
        <w:t xml:space="preserve"> evidente che starà al collegio sindacale in carica nell’esercizio 2025</w:t>
      </w:r>
      <w:r w:rsidR="001705CD" w:rsidRPr="00B15171">
        <w:rPr>
          <w:rFonts w:ascii="Tahoma" w:hAnsi="Tahoma" w:cs="Tahoma"/>
          <w:sz w:val="20"/>
          <w:szCs w:val="20"/>
        </w:rPr>
        <w:t>,</w:t>
      </w:r>
      <w:r w:rsidR="00867AB9" w:rsidRPr="00B15171">
        <w:rPr>
          <w:rFonts w:ascii="Tahoma" w:hAnsi="Tahoma" w:cs="Tahoma"/>
          <w:sz w:val="20"/>
          <w:szCs w:val="20"/>
        </w:rPr>
        <w:t xml:space="preserve"> nell’esercizio 2026</w:t>
      </w:r>
      <w:r w:rsidR="005E1F42" w:rsidRPr="00B15171">
        <w:rPr>
          <w:rFonts w:ascii="Tahoma" w:hAnsi="Tahoma" w:cs="Tahoma"/>
          <w:sz w:val="20"/>
          <w:szCs w:val="20"/>
        </w:rPr>
        <w:t xml:space="preserve"> </w:t>
      </w:r>
      <w:r w:rsidR="001705CD" w:rsidRPr="00B15171">
        <w:rPr>
          <w:rFonts w:ascii="Tahoma" w:hAnsi="Tahoma" w:cs="Tahoma"/>
          <w:sz w:val="20"/>
          <w:szCs w:val="20"/>
        </w:rPr>
        <w:t xml:space="preserve">e nell’esercizio 2027 </w:t>
      </w:r>
      <w:r w:rsidR="005E1F42" w:rsidRPr="00B15171">
        <w:rPr>
          <w:rFonts w:ascii="Tahoma" w:hAnsi="Tahoma" w:cs="Tahoma"/>
          <w:sz w:val="20"/>
          <w:szCs w:val="20"/>
        </w:rPr>
        <w:t xml:space="preserve">(se la società non ha mai, </w:t>
      </w:r>
      <w:r w:rsidR="005E1F42" w:rsidRPr="00B15171">
        <w:rPr>
          <w:rFonts w:ascii="Tahoma" w:hAnsi="Tahoma" w:cs="Tahoma"/>
          <w:i/>
          <w:iCs/>
          <w:sz w:val="20"/>
          <w:szCs w:val="20"/>
        </w:rPr>
        <w:t xml:space="preserve">medio tempore, </w:t>
      </w:r>
      <w:r w:rsidR="005E1F42" w:rsidRPr="00B15171">
        <w:rPr>
          <w:rFonts w:ascii="Tahoma" w:hAnsi="Tahoma" w:cs="Tahoma"/>
          <w:sz w:val="20"/>
          <w:szCs w:val="20"/>
        </w:rPr>
        <w:t>provveduto altrimenti)</w:t>
      </w:r>
      <w:r w:rsidR="00403081" w:rsidRPr="00B15171">
        <w:rPr>
          <w:rFonts w:ascii="Tahoma" w:hAnsi="Tahoma" w:cs="Tahoma"/>
          <w:sz w:val="20"/>
          <w:szCs w:val="20"/>
        </w:rPr>
        <w:t xml:space="preserve"> procedere a vigilare che</w:t>
      </w:r>
    </w:p>
    <w:p w14:paraId="7884A0F0" w14:textId="63C5F6E9" w:rsidR="00855DA0" w:rsidRPr="00B15171" w:rsidRDefault="00403081">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superior</w:t>
      </w:r>
      <w:r w:rsidR="00855DA0" w:rsidRPr="00B15171">
        <w:rPr>
          <w:rFonts w:ascii="Tahoma" w:hAnsi="Tahoma" w:cs="Tahoma"/>
          <w:sz w:val="20"/>
          <w:szCs w:val="20"/>
        </w:rPr>
        <w:t>i al terzo del capitale sociale</w:t>
      </w:r>
      <w:r w:rsidR="008616E3" w:rsidRPr="00B15171">
        <w:rPr>
          <w:rFonts w:ascii="Tahoma" w:hAnsi="Tahoma" w:cs="Tahoma"/>
          <w:sz w:val="20"/>
          <w:szCs w:val="20"/>
        </w:rPr>
        <w:t xml:space="preserve"> nell’esercizio 2020</w:t>
      </w:r>
      <w:r w:rsidR="00855DA0" w:rsidRPr="00B15171">
        <w:rPr>
          <w:rFonts w:ascii="Tahoma" w:hAnsi="Tahoma" w:cs="Tahoma"/>
          <w:sz w:val="20"/>
          <w:szCs w:val="20"/>
        </w:rPr>
        <w:t>, queste si siano ridotte a meno di un terzo entro il 31/12/2025 e che l’assemblea che approva il bilancio 2025 riduca il capitale in proporzione delle perdite accertate</w:t>
      </w:r>
    </w:p>
    <w:p w14:paraId="2608A2D8" w14:textId="0F9821D7" w:rsidR="00867AB9" w:rsidRPr="00B15171" w:rsidRDefault="00867AB9">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superiori al terzo del capitale sociale nell’esercizio 2021, queste si siano ridotte a meno di un terzo entro il 31/12/2026 e che l’assemblea che approva il bilancio 2026 riduca il capitale in proporzione delle perdite accertate</w:t>
      </w:r>
    </w:p>
    <w:p w14:paraId="538A2047" w14:textId="1FF6F0C3" w:rsidR="001705CD" w:rsidRPr="00B15171" w:rsidRDefault="001705CD">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superiori al terzo del capitale sociale nell’esercizio 2022, queste si siano ridotte a meno di un terzo entro il 31/12/2027 e che l’assemblea che approva il bilancio 2027 riduca il capitale in proporzione delle perdite accertate</w:t>
      </w:r>
    </w:p>
    <w:p w14:paraId="10AEA1EE" w14:textId="77777777" w:rsidR="00867AB9" w:rsidRPr="00B15171" w:rsidRDefault="00855DA0">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 xml:space="preserve">in caso </w:t>
      </w:r>
      <w:r w:rsidR="00C46A52" w:rsidRPr="00B15171">
        <w:rPr>
          <w:rFonts w:ascii="Tahoma" w:hAnsi="Tahoma" w:cs="Tahoma"/>
          <w:sz w:val="20"/>
          <w:szCs w:val="20"/>
        </w:rPr>
        <w:t xml:space="preserve">di perdite </w:t>
      </w:r>
      <w:r w:rsidR="008616E3" w:rsidRPr="00B15171">
        <w:rPr>
          <w:rFonts w:ascii="Tahoma" w:hAnsi="Tahoma" w:cs="Tahoma"/>
          <w:sz w:val="20"/>
          <w:szCs w:val="20"/>
        </w:rPr>
        <w:t xml:space="preserve">dell’esercizio 2020 </w:t>
      </w:r>
      <w:r w:rsidR="00C46A52" w:rsidRPr="00B15171">
        <w:rPr>
          <w:rFonts w:ascii="Tahoma" w:hAnsi="Tahoma" w:cs="Tahoma"/>
          <w:sz w:val="20"/>
          <w:szCs w:val="20"/>
        </w:rPr>
        <w:t>superiori al terzo del capitale sociale che lo riduca al di sotto del minimo sociale</w:t>
      </w:r>
      <w:r w:rsidR="00403081" w:rsidRPr="00B15171">
        <w:rPr>
          <w:rFonts w:ascii="Tahoma" w:hAnsi="Tahoma" w:cs="Tahoma"/>
          <w:sz w:val="20"/>
          <w:szCs w:val="20"/>
        </w:rPr>
        <w:t xml:space="preserve">, </w:t>
      </w:r>
      <w:r w:rsidR="00C46A52" w:rsidRPr="00B15171">
        <w:rPr>
          <w:rFonts w:ascii="Tahoma" w:hAnsi="Tahoma" w:cs="Tahoma"/>
          <w:sz w:val="20"/>
          <w:szCs w:val="20"/>
        </w:rPr>
        <w:t>le decisioni in merito alla riduzione del capitale e al contemporaneo incremento fino, almeno, al minimo legale siano state prese entro il 31/12/2025 e, in assenza, l’assemblea che approva il</w:t>
      </w:r>
      <w:r w:rsidR="00FF27DD" w:rsidRPr="00B15171">
        <w:rPr>
          <w:rFonts w:ascii="Tahoma" w:hAnsi="Tahoma" w:cs="Tahoma"/>
          <w:sz w:val="20"/>
          <w:szCs w:val="20"/>
        </w:rPr>
        <w:t xml:space="preserve"> bilancio 2025 proceda</w:t>
      </w:r>
      <w:r w:rsidR="00C46A52" w:rsidRPr="00B15171">
        <w:rPr>
          <w:rFonts w:ascii="Tahoma" w:hAnsi="Tahoma" w:cs="Tahoma"/>
          <w:sz w:val="20"/>
          <w:szCs w:val="20"/>
        </w:rPr>
        <w:t xml:space="preserve"> alle deliberazioni richieste dalla legge ovvero deliberi la trasformazione della società</w:t>
      </w:r>
    </w:p>
    <w:p w14:paraId="574B006C" w14:textId="77777777" w:rsidR="001705CD" w:rsidRPr="00B15171" w:rsidRDefault="00867AB9">
      <w:pPr>
        <w:pStyle w:val="Paragrafoelenco"/>
        <w:numPr>
          <w:ilvl w:val="0"/>
          <w:numId w:val="4"/>
        </w:numPr>
        <w:spacing w:after="200" w:line="360" w:lineRule="auto"/>
        <w:ind w:left="714" w:hanging="357"/>
        <w:jc w:val="both"/>
        <w:rPr>
          <w:rFonts w:ascii="Tahoma" w:hAnsi="Tahoma" w:cs="Tahoma"/>
          <w:sz w:val="20"/>
          <w:szCs w:val="20"/>
        </w:rPr>
      </w:pPr>
      <w:r w:rsidRPr="00B15171">
        <w:rPr>
          <w:rFonts w:ascii="Tahoma" w:hAnsi="Tahoma" w:cs="Tahoma"/>
          <w:sz w:val="20"/>
          <w:szCs w:val="20"/>
        </w:rPr>
        <w:t>in caso di perdite dell’esercizio 2021 superiori al terzo del capitale sociale che lo riduca al di sotto del minimo sociale, le decisioni in merito alla riduzione del capitale e al contemporaneo incremento fino, almeno, al minimo legale siano state prese entro il 31/12/2026 e, in assenza, l’assemblea che approva il bilancio 2026 proceda alle deliberazioni richieste dalla legge ovvero deliberi la trasformazione della società</w:t>
      </w:r>
    </w:p>
    <w:p w14:paraId="1686E50E" w14:textId="522F1DB6" w:rsidR="00867AB9" w:rsidRPr="00B15171" w:rsidRDefault="001705CD">
      <w:pPr>
        <w:pStyle w:val="Paragrafoelenco"/>
        <w:numPr>
          <w:ilvl w:val="0"/>
          <w:numId w:val="4"/>
        </w:numPr>
        <w:spacing w:after="200" w:line="360" w:lineRule="auto"/>
        <w:contextualSpacing w:val="0"/>
        <w:jc w:val="both"/>
        <w:rPr>
          <w:rFonts w:ascii="Tahoma" w:hAnsi="Tahoma" w:cs="Tahoma"/>
          <w:sz w:val="20"/>
          <w:szCs w:val="20"/>
        </w:rPr>
      </w:pPr>
      <w:r w:rsidRPr="00B15171">
        <w:rPr>
          <w:rFonts w:ascii="Tahoma" w:hAnsi="Tahoma" w:cs="Tahoma"/>
          <w:sz w:val="20"/>
          <w:szCs w:val="20"/>
        </w:rPr>
        <w:t>in caso di perdite dell’esercizio 2022 superiori al terzo del capitale sociale che lo riduca al di sotto del minimo sociale, le decisioni in merito alla riduzione del capitale e al contemporaneo incremento fino, almeno, al minimo legale siano state prese entro il 31/12/2027 e, in assenza, l’assemblea che approva il bilancio 2027 proceda alle deliberazioni richieste dalla legge ovvero deliberi la trasformazione della società</w:t>
      </w:r>
      <w:r w:rsidR="00867AB9" w:rsidRPr="00B15171">
        <w:rPr>
          <w:rFonts w:ascii="Tahoma" w:hAnsi="Tahoma" w:cs="Tahoma"/>
          <w:sz w:val="20"/>
          <w:szCs w:val="20"/>
        </w:rPr>
        <w:t>.</w:t>
      </w:r>
    </w:p>
    <w:p w14:paraId="393089E8" w14:textId="77777777" w:rsidR="009208F3" w:rsidRDefault="009208F3" w:rsidP="00B15171">
      <w:pPr>
        <w:pStyle w:val="Titolo2"/>
        <w:rPr>
          <w:lang w:val="it-IT"/>
        </w:rPr>
      </w:pPr>
    </w:p>
    <w:p w14:paraId="364FFD12" w14:textId="31A191C3" w:rsidR="00403081" w:rsidRPr="00B15171" w:rsidRDefault="00A8032F" w:rsidP="00B15171">
      <w:pPr>
        <w:pStyle w:val="Titolo2"/>
      </w:pPr>
      <w:bookmarkStart w:id="23" w:name="_Toc161309109"/>
      <w:r>
        <w:rPr>
          <w:lang w:val="it-IT"/>
        </w:rPr>
        <w:t>5</w:t>
      </w:r>
      <w:r w:rsidR="00403081" w:rsidRPr="00B15171">
        <w:t>.</w:t>
      </w:r>
      <w:r w:rsidR="006C0FA6" w:rsidRPr="00B15171">
        <w:t>5</w:t>
      </w:r>
      <w:r w:rsidR="00403081" w:rsidRPr="00B15171">
        <w:t xml:space="preserve"> Il ruolo dei revisori</w:t>
      </w:r>
      <w:bookmarkEnd w:id="23"/>
    </w:p>
    <w:p w14:paraId="35AC69C4" w14:textId="006C12EE" w:rsidR="00403081" w:rsidRPr="00B15171" w:rsidRDefault="00403081" w:rsidP="00B15171">
      <w:pPr>
        <w:spacing w:after="200" w:line="360" w:lineRule="auto"/>
        <w:jc w:val="both"/>
        <w:rPr>
          <w:rFonts w:ascii="Tahoma" w:hAnsi="Tahoma" w:cs="Tahoma"/>
          <w:sz w:val="20"/>
          <w:szCs w:val="20"/>
        </w:rPr>
      </w:pPr>
      <w:r w:rsidRPr="00B15171">
        <w:rPr>
          <w:rFonts w:ascii="Tahoma" w:hAnsi="Tahoma" w:cs="Tahoma"/>
          <w:sz w:val="20"/>
          <w:szCs w:val="20"/>
        </w:rPr>
        <w:t xml:space="preserve">I revisori procederanno esclusivamente ad una verifica di correttezza del riporto dell’informativa all’interno della nota integrativa </w:t>
      </w:r>
      <w:r w:rsidR="007D44A3" w:rsidRPr="00B15171">
        <w:rPr>
          <w:rFonts w:ascii="Tahoma" w:hAnsi="Tahoma" w:cs="Tahoma"/>
          <w:sz w:val="20"/>
          <w:szCs w:val="20"/>
        </w:rPr>
        <w:t>dell’anno 202</w:t>
      </w:r>
      <w:r w:rsidR="009F685C">
        <w:rPr>
          <w:rFonts w:ascii="Tahoma" w:hAnsi="Tahoma" w:cs="Tahoma"/>
          <w:sz w:val="20"/>
          <w:szCs w:val="20"/>
        </w:rPr>
        <w:t>3</w:t>
      </w:r>
      <w:r w:rsidR="007D44A3" w:rsidRPr="00B15171">
        <w:rPr>
          <w:rFonts w:ascii="Tahoma" w:hAnsi="Tahoma" w:cs="Tahoma"/>
          <w:sz w:val="20"/>
          <w:szCs w:val="20"/>
        </w:rPr>
        <w:t xml:space="preserve"> </w:t>
      </w:r>
      <w:r w:rsidR="008F1C5F" w:rsidRPr="00B15171">
        <w:rPr>
          <w:rFonts w:ascii="Tahoma" w:hAnsi="Tahoma" w:cs="Tahoma"/>
          <w:sz w:val="20"/>
          <w:szCs w:val="20"/>
        </w:rPr>
        <w:t>delle perdite</w:t>
      </w:r>
      <w:r w:rsidRPr="00B15171">
        <w:rPr>
          <w:rFonts w:ascii="Tahoma" w:hAnsi="Tahoma" w:cs="Tahoma"/>
          <w:sz w:val="20"/>
          <w:szCs w:val="20"/>
        </w:rPr>
        <w:t xml:space="preserve"> dell’anno 2020</w:t>
      </w:r>
      <w:r w:rsidR="001705CD" w:rsidRPr="00B15171">
        <w:rPr>
          <w:rFonts w:ascii="Tahoma" w:hAnsi="Tahoma" w:cs="Tahoma"/>
          <w:sz w:val="20"/>
          <w:szCs w:val="20"/>
        </w:rPr>
        <w:t xml:space="preserve">, </w:t>
      </w:r>
      <w:r w:rsidR="00867AB9" w:rsidRPr="00B15171">
        <w:rPr>
          <w:rFonts w:ascii="Tahoma" w:hAnsi="Tahoma" w:cs="Tahoma"/>
          <w:sz w:val="20"/>
          <w:szCs w:val="20"/>
        </w:rPr>
        <w:t>dell’anno 2021</w:t>
      </w:r>
      <w:r w:rsidR="001705CD" w:rsidRPr="00B15171">
        <w:rPr>
          <w:rFonts w:ascii="Tahoma" w:hAnsi="Tahoma" w:cs="Tahoma"/>
          <w:sz w:val="20"/>
          <w:szCs w:val="20"/>
        </w:rPr>
        <w:t xml:space="preserve"> e poi dell’anno 2022</w:t>
      </w:r>
      <w:r w:rsidRPr="00B15171">
        <w:rPr>
          <w:rFonts w:ascii="Tahoma" w:hAnsi="Tahoma" w:cs="Tahoma"/>
          <w:sz w:val="20"/>
          <w:szCs w:val="20"/>
        </w:rPr>
        <w:t>.</w:t>
      </w:r>
    </w:p>
    <w:p w14:paraId="32624FF5" w14:textId="5F25D7C9" w:rsidR="00403081" w:rsidRPr="00B15171" w:rsidRDefault="00403081" w:rsidP="00B15171">
      <w:pPr>
        <w:spacing w:after="200" w:line="360" w:lineRule="auto"/>
        <w:jc w:val="both"/>
        <w:rPr>
          <w:rFonts w:ascii="Tahoma" w:hAnsi="Tahoma" w:cs="Tahoma"/>
          <w:sz w:val="20"/>
          <w:szCs w:val="20"/>
        </w:rPr>
      </w:pPr>
      <w:r w:rsidRPr="00B15171">
        <w:rPr>
          <w:rFonts w:ascii="Tahoma" w:hAnsi="Tahoma" w:cs="Tahoma"/>
          <w:sz w:val="20"/>
          <w:szCs w:val="20"/>
        </w:rPr>
        <w:lastRenderedPageBreak/>
        <w:t>Qualora la società omettesse la predisposizione del prospetto delle perdite</w:t>
      </w:r>
      <w:r w:rsidR="00AA007A" w:rsidRPr="00B15171">
        <w:rPr>
          <w:rFonts w:ascii="Tahoma" w:hAnsi="Tahoma" w:cs="Tahoma"/>
          <w:sz w:val="20"/>
          <w:szCs w:val="20"/>
        </w:rPr>
        <w:t>, i revisori dovrebbero valutare se la insufficiente informativa possa costituire un errore significativo, cioè un errore che possa influenzare le decisioni economiche che gli utilizzatori prendono in base al bilancio.</w:t>
      </w:r>
    </w:p>
    <w:p w14:paraId="00A235FC" w14:textId="77777777" w:rsidR="00FF27DD" w:rsidRPr="00B15171" w:rsidRDefault="00FF27DD" w:rsidP="00B15171">
      <w:pPr>
        <w:spacing w:after="200" w:line="360" w:lineRule="auto"/>
        <w:jc w:val="both"/>
        <w:rPr>
          <w:rFonts w:ascii="Tahoma" w:hAnsi="Tahoma" w:cs="Tahoma"/>
          <w:sz w:val="20"/>
          <w:szCs w:val="20"/>
        </w:rPr>
      </w:pPr>
      <w:r w:rsidRPr="00B15171">
        <w:rPr>
          <w:rFonts w:ascii="Tahoma" w:hAnsi="Tahoma" w:cs="Tahoma"/>
          <w:sz w:val="20"/>
          <w:szCs w:val="20"/>
        </w:rPr>
        <w:t>In tale caso dovranno esprimere nella relazione di revisione un giudizio con rilievi.</w:t>
      </w:r>
    </w:p>
    <w:p w14:paraId="69FDBF10" w14:textId="77777777" w:rsidR="00880834" w:rsidRDefault="00880834" w:rsidP="00B15171">
      <w:pPr>
        <w:spacing w:after="200" w:line="360" w:lineRule="auto"/>
        <w:jc w:val="both"/>
        <w:rPr>
          <w:rFonts w:ascii="Tahoma" w:hAnsi="Tahoma" w:cs="Tahoma"/>
          <w:sz w:val="20"/>
          <w:szCs w:val="20"/>
        </w:rPr>
      </w:pPr>
    </w:p>
    <w:p w14:paraId="49A3F7BB" w14:textId="77777777" w:rsidR="009F685C" w:rsidRDefault="009F685C" w:rsidP="00B15171">
      <w:pPr>
        <w:spacing w:after="200" w:line="360" w:lineRule="auto"/>
        <w:jc w:val="both"/>
        <w:rPr>
          <w:rFonts w:ascii="Tahoma" w:hAnsi="Tahoma" w:cs="Tahoma"/>
          <w:sz w:val="20"/>
          <w:szCs w:val="20"/>
        </w:rPr>
      </w:pPr>
    </w:p>
    <w:p w14:paraId="0A2C1E91" w14:textId="77777777" w:rsidR="009208F3" w:rsidRDefault="009208F3" w:rsidP="009208F3">
      <w:pPr>
        <w:pStyle w:val="Titolo1"/>
        <w:sectPr w:rsidR="009208F3" w:rsidSect="00CD27CA">
          <w:pgSz w:w="11906" w:h="16838" w:code="9"/>
          <w:pgMar w:top="1418" w:right="1134" w:bottom="1134" w:left="1134" w:header="709" w:footer="567" w:gutter="0"/>
          <w:cols w:space="708"/>
          <w:titlePg/>
          <w:docGrid w:linePitch="360"/>
        </w:sectPr>
      </w:pPr>
    </w:p>
    <w:bookmarkStart w:id="24" w:name="_Toc161309110"/>
    <w:p w14:paraId="7DA4D83C" w14:textId="26CCAA58" w:rsidR="009F685C" w:rsidRDefault="00C44095" w:rsidP="00C44095">
      <w:pPr>
        <w:pStyle w:val="Titolo1"/>
        <w:ind w:left="0" w:firstLine="0"/>
      </w:pPr>
      <w:r w:rsidRPr="00B15171">
        <w:rPr>
          <w:rFonts w:cs="Tahoma"/>
          <w:b w:val="0"/>
          <w:bCs w:val="0"/>
          <w:noProof/>
        </w:rPr>
        <w:lastRenderedPageBreak/>
        <mc:AlternateContent>
          <mc:Choice Requires="wps">
            <w:drawing>
              <wp:anchor distT="4294967292" distB="4294967292" distL="114300" distR="114300" simplePos="0" relativeHeight="251680768" behindDoc="0" locked="0" layoutInCell="1" allowOverlap="1" wp14:anchorId="7F9E0D52" wp14:editId="5BE6646E">
                <wp:simplePos x="0" y="0"/>
                <wp:positionH relativeFrom="margin">
                  <wp:align>center</wp:align>
                </wp:positionH>
                <wp:positionV relativeFrom="paragraph">
                  <wp:posOffset>296745</wp:posOffset>
                </wp:positionV>
                <wp:extent cx="2443480" cy="0"/>
                <wp:effectExtent l="19050" t="19050" r="33020" b="38100"/>
                <wp:wrapNone/>
                <wp:docPr id="970027380" name="Connettore 2 970027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0"/>
                        </a:xfrm>
                        <a:prstGeom prst="straightConnector1">
                          <a:avLst/>
                        </a:prstGeom>
                        <a:noFill/>
                        <a:ln w="19080" cap="sq">
                          <a:solidFill>
                            <a:srgbClr val="404040"/>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041668" id="Connettore 2 970027380" o:spid="_x0000_s1026" type="#_x0000_t32" style="position:absolute;margin-left:0;margin-top:23.35pt;width:192.4pt;height:0;z-index:25168076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" strokecolor="#404040" strokeweight=".53mm">
                <v:stroke joinstyle="miter" endcap="square"/>
                <w10:wrap anchorx="margin"/>
              </v:shape>
            </w:pict>
          </mc:Fallback>
        </mc:AlternateContent>
      </w:r>
      <w:r w:rsidR="00A8032F">
        <w:t>6</w:t>
      </w:r>
      <w:r w:rsidR="009F685C">
        <w:t>.</w:t>
      </w:r>
      <w:r w:rsidRPr="003B3176">
        <w:br/>
      </w:r>
      <w:r w:rsidR="009F685C">
        <w:t>I</w:t>
      </w:r>
      <w:r>
        <w:t>l riallineamento del magazzino</w:t>
      </w:r>
      <w:bookmarkEnd w:id="24"/>
    </w:p>
    <w:p w14:paraId="05DCF4E2" w14:textId="7E2623DA" w:rsidR="009208F3" w:rsidRPr="00C44095" w:rsidRDefault="009208F3" w:rsidP="00C44095">
      <w:pPr>
        <w:spacing w:after="200" w:line="360" w:lineRule="auto"/>
        <w:rPr>
          <w:rFonts w:ascii="Tahoma" w:hAnsi="Tahoma" w:cs="Tahoma"/>
          <w:sz w:val="20"/>
          <w:szCs w:val="20"/>
        </w:rPr>
      </w:pPr>
    </w:p>
    <w:p w14:paraId="2CABCF7F" w14:textId="20B6086C" w:rsidR="009208F3" w:rsidRPr="00C44095" w:rsidRDefault="009208F3" w:rsidP="00C44095">
      <w:pPr>
        <w:spacing w:after="200" w:line="360" w:lineRule="auto"/>
        <w:rPr>
          <w:rFonts w:ascii="Tahoma" w:hAnsi="Tahoma" w:cs="Tahoma"/>
          <w:sz w:val="20"/>
          <w:szCs w:val="20"/>
        </w:rPr>
      </w:pPr>
    </w:p>
    <w:p w14:paraId="0C69F20E" w14:textId="77777777" w:rsidR="009208F3" w:rsidRPr="00C44095" w:rsidRDefault="009208F3" w:rsidP="00C44095">
      <w:pPr>
        <w:spacing w:after="200" w:line="360" w:lineRule="auto"/>
        <w:rPr>
          <w:rFonts w:ascii="Tahoma" w:hAnsi="Tahoma" w:cs="Tahoma"/>
          <w:sz w:val="20"/>
          <w:szCs w:val="20"/>
        </w:rPr>
      </w:pPr>
    </w:p>
    <w:p w14:paraId="2A217BC4" w14:textId="5C2DA61A" w:rsidR="009208F3" w:rsidRPr="00C44095" w:rsidRDefault="009208F3" w:rsidP="00C44095">
      <w:pPr>
        <w:spacing w:after="200" w:line="360" w:lineRule="auto"/>
        <w:rPr>
          <w:rFonts w:ascii="Tahoma" w:hAnsi="Tahoma" w:cs="Tahoma"/>
          <w:sz w:val="20"/>
          <w:szCs w:val="20"/>
        </w:rPr>
      </w:pPr>
    </w:p>
    <w:p w14:paraId="4C89BB79" w14:textId="77777777" w:rsidR="009208F3" w:rsidRPr="00C44095" w:rsidRDefault="009208F3" w:rsidP="00C44095">
      <w:pPr>
        <w:spacing w:after="200" w:line="360" w:lineRule="auto"/>
        <w:rPr>
          <w:rFonts w:ascii="Tahoma" w:hAnsi="Tahoma" w:cs="Tahoma"/>
          <w:sz w:val="20"/>
          <w:szCs w:val="20"/>
        </w:rPr>
      </w:pPr>
    </w:p>
    <w:p w14:paraId="5B5D0038" w14:textId="77777777" w:rsidR="009208F3" w:rsidRPr="00C44095" w:rsidRDefault="009208F3" w:rsidP="00C44095">
      <w:pPr>
        <w:spacing w:after="200" w:line="360" w:lineRule="auto"/>
        <w:rPr>
          <w:rFonts w:ascii="Tahoma" w:hAnsi="Tahoma" w:cs="Tahoma"/>
          <w:sz w:val="20"/>
          <w:szCs w:val="20"/>
        </w:rPr>
      </w:pPr>
    </w:p>
    <w:p w14:paraId="09F46FF1" w14:textId="3195F626" w:rsidR="009F685C" w:rsidRDefault="00A8032F" w:rsidP="009208F3">
      <w:pPr>
        <w:pStyle w:val="Titolo2"/>
      </w:pPr>
      <w:bookmarkStart w:id="25" w:name="_Toc161309111"/>
      <w:r>
        <w:t>6</w:t>
      </w:r>
      <w:r w:rsidR="009F685C">
        <w:t>.1 La disciplina del riallineamento del magazzino</w:t>
      </w:r>
      <w:bookmarkEnd w:id="25"/>
    </w:p>
    <w:p w14:paraId="241D5BE5" w14:textId="456B290D" w:rsidR="009F685C" w:rsidRPr="00196E4D" w:rsidRDefault="00894EDA" w:rsidP="00894EDA">
      <w:pPr>
        <w:spacing w:after="200" w:line="360" w:lineRule="auto"/>
        <w:jc w:val="both"/>
        <w:rPr>
          <w:rFonts w:ascii="Tahoma" w:eastAsiaTheme="minorHAnsi" w:hAnsi="Tahoma" w:cs="Tahoma"/>
          <w:i/>
          <w:iCs/>
          <w:sz w:val="20"/>
          <w:szCs w:val="20"/>
          <w:lang w:eastAsia="en-US"/>
        </w:rPr>
      </w:pPr>
      <w:r w:rsidRPr="00894EDA">
        <w:rPr>
          <w:rFonts w:ascii="Tahoma" w:hAnsi="Tahoma" w:cs="Tahoma"/>
          <w:sz w:val="20"/>
          <w:szCs w:val="20"/>
        </w:rPr>
        <w:t xml:space="preserve">I commi da </w:t>
      </w:r>
      <w:r w:rsidR="009F685C" w:rsidRPr="00894EDA">
        <w:rPr>
          <w:rFonts w:ascii="Tahoma" w:hAnsi="Tahoma" w:cs="Tahoma"/>
          <w:sz w:val="20"/>
          <w:szCs w:val="20"/>
        </w:rPr>
        <w:t xml:space="preserve"> 78 a 85</w:t>
      </w:r>
      <w:r w:rsidRPr="00894EDA">
        <w:rPr>
          <w:rFonts w:ascii="Tahoma" w:hAnsi="Tahoma" w:cs="Tahoma"/>
          <w:sz w:val="20"/>
          <w:szCs w:val="20"/>
        </w:rPr>
        <w:t xml:space="preserve"> dell’art. 1 della Legge di bilancio 2024 reintroducono una normativa inerente il riallineamento del magazzino. Il comma 78 così recita: </w:t>
      </w:r>
      <w:r>
        <w:rPr>
          <w:rFonts w:ascii="Tahoma" w:hAnsi="Tahoma" w:cs="Tahoma"/>
          <w:sz w:val="20"/>
          <w:szCs w:val="20"/>
        </w:rPr>
        <w:t>“</w:t>
      </w:r>
      <w:r w:rsidRPr="00196E4D">
        <w:rPr>
          <w:rFonts w:ascii="Tahoma" w:hAnsi="Tahoma" w:cs="Tahoma"/>
          <w:i/>
          <w:iCs/>
          <w:sz w:val="20"/>
          <w:szCs w:val="20"/>
        </w:rPr>
        <w:t>G</w:t>
      </w:r>
      <w:r w:rsidR="009F685C" w:rsidRPr="00196E4D">
        <w:rPr>
          <w:rFonts w:ascii="Tahoma" w:eastAsiaTheme="minorHAnsi" w:hAnsi="Tahoma" w:cs="Tahoma"/>
          <w:i/>
          <w:iCs/>
          <w:sz w:val="20"/>
          <w:szCs w:val="20"/>
          <w:lang w:eastAsia="en-US"/>
        </w:rPr>
        <w:t>li esercenti attività d’impresa che</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non adottano i princìpi contabili internazionali</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nella redazione del bilancio possono</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procedere, relativamente al periodo</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d’imposta in corso al 30 settembre 2023,</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all’adeguamento delle esistenze iniziali dei</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beni</w:t>
      </w:r>
      <w:r>
        <w:rPr>
          <w:rFonts w:ascii="Tahoma" w:eastAsiaTheme="minorHAnsi" w:hAnsi="Tahoma" w:cs="Tahoma"/>
          <w:i/>
          <w:iCs/>
          <w:sz w:val="20"/>
          <w:szCs w:val="20"/>
          <w:lang w:eastAsia="en-US"/>
        </w:rPr>
        <w:t>”</w:t>
      </w:r>
      <w:r w:rsidRPr="00196E4D">
        <w:rPr>
          <w:rFonts w:ascii="Tahoma" w:eastAsiaTheme="minorHAnsi" w:hAnsi="Tahoma" w:cs="Tahoma"/>
          <w:i/>
          <w:iCs/>
          <w:sz w:val="20"/>
          <w:szCs w:val="20"/>
          <w:lang w:eastAsia="en-US"/>
        </w:rPr>
        <w:t>.</w:t>
      </w:r>
    </w:p>
    <w:p w14:paraId="0AEA24C3" w14:textId="54DC5F24" w:rsidR="009F685C" w:rsidRDefault="00894EDA" w:rsidP="009F685C">
      <w:pPr>
        <w:spacing w:after="200" w:line="360" w:lineRule="auto"/>
        <w:jc w:val="both"/>
        <w:rPr>
          <w:rFonts w:ascii="Tahoma" w:eastAsiaTheme="minorHAnsi" w:hAnsi="Tahoma" w:cs="Tahoma"/>
          <w:sz w:val="20"/>
          <w:szCs w:val="20"/>
          <w:lang w:eastAsia="en-US"/>
        </w:rPr>
      </w:pPr>
      <w:r w:rsidRPr="00196E4D">
        <w:rPr>
          <w:rFonts w:ascii="Tahoma" w:eastAsiaTheme="minorHAnsi" w:hAnsi="Tahoma" w:cs="Tahoma"/>
          <w:sz w:val="20"/>
          <w:szCs w:val="20"/>
          <w:lang w:eastAsia="en-US"/>
        </w:rPr>
        <w:t>Il comma 79 aggiunge poi: “</w:t>
      </w:r>
      <w:r w:rsidR="009F685C" w:rsidRPr="00196E4D">
        <w:rPr>
          <w:rFonts w:ascii="Tahoma" w:eastAsiaTheme="minorHAnsi" w:hAnsi="Tahoma" w:cs="Tahoma"/>
          <w:i/>
          <w:iCs/>
          <w:sz w:val="20"/>
          <w:szCs w:val="20"/>
          <w:lang w:eastAsia="en-US"/>
        </w:rPr>
        <w:t xml:space="preserve">L’adeguamento </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può essere effettuato mediante l’eliminazione</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delle esistenze iniziali di quantità o</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valori superiori a quelli effettivi nonché</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mediante l’iscrizione delle esistenze iniziali</w:t>
      </w:r>
      <w:r w:rsidRPr="00196E4D">
        <w:rPr>
          <w:rFonts w:ascii="Tahoma" w:eastAsiaTheme="minorHAnsi" w:hAnsi="Tahoma" w:cs="Tahoma"/>
          <w:i/>
          <w:iCs/>
          <w:sz w:val="20"/>
          <w:szCs w:val="20"/>
          <w:lang w:eastAsia="en-US"/>
        </w:rPr>
        <w:t xml:space="preserve"> </w:t>
      </w:r>
      <w:r w:rsidR="009F685C" w:rsidRPr="00196E4D">
        <w:rPr>
          <w:rFonts w:ascii="Tahoma" w:eastAsiaTheme="minorHAnsi" w:hAnsi="Tahoma" w:cs="Tahoma"/>
          <w:i/>
          <w:iCs/>
          <w:sz w:val="20"/>
          <w:szCs w:val="20"/>
          <w:lang w:eastAsia="en-US"/>
        </w:rPr>
        <w:t>in precedenza omesse</w:t>
      </w:r>
      <w:r w:rsidRPr="00196E4D">
        <w:rPr>
          <w:rFonts w:ascii="Tahoma" w:eastAsiaTheme="minorHAnsi" w:hAnsi="Tahoma" w:cs="Tahoma"/>
          <w:sz w:val="20"/>
          <w:szCs w:val="20"/>
          <w:lang w:eastAsia="en-US"/>
        </w:rPr>
        <w:t>”</w:t>
      </w:r>
      <w:r>
        <w:rPr>
          <w:rFonts w:ascii="Tahoma" w:eastAsiaTheme="minorHAnsi" w:hAnsi="Tahoma" w:cs="Tahoma"/>
          <w:sz w:val="20"/>
          <w:szCs w:val="20"/>
          <w:lang w:eastAsia="en-US"/>
        </w:rPr>
        <w:t>.</w:t>
      </w:r>
    </w:p>
    <w:p w14:paraId="4A3589F4" w14:textId="055ED9F8" w:rsidR="00894EDA" w:rsidRDefault="00894EDA" w:rsidP="009F685C">
      <w:pPr>
        <w:spacing w:after="200" w:line="360" w:lineRule="auto"/>
        <w:jc w:val="both"/>
        <w:rPr>
          <w:rFonts w:ascii="Tahoma" w:eastAsiaTheme="minorHAnsi" w:hAnsi="Tahoma" w:cs="Tahoma"/>
          <w:sz w:val="20"/>
          <w:szCs w:val="20"/>
          <w:lang w:eastAsia="en-US"/>
        </w:rPr>
      </w:pPr>
      <w:r>
        <w:rPr>
          <w:rFonts w:ascii="Tahoma" w:eastAsiaTheme="minorHAnsi" w:hAnsi="Tahoma" w:cs="Tahoma"/>
          <w:sz w:val="20"/>
          <w:szCs w:val="20"/>
          <w:lang w:eastAsia="en-US"/>
        </w:rPr>
        <w:t>Quindi:</w:t>
      </w:r>
    </w:p>
    <w:p w14:paraId="2793FD0D" w14:textId="689DB535" w:rsidR="00894EDA" w:rsidRDefault="00894EDA" w:rsidP="009F685C">
      <w:pPr>
        <w:spacing w:after="200" w:line="360" w:lineRule="auto"/>
        <w:jc w:val="both"/>
        <w:rPr>
          <w:rFonts w:ascii="Tahoma" w:eastAsiaTheme="minorHAnsi" w:hAnsi="Tahoma" w:cs="Tahoma"/>
          <w:sz w:val="20"/>
          <w:szCs w:val="20"/>
          <w:lang w:eastAsia="en-US"/>
        </w:rPr>
      </w:pPr>
      <w:r>
        <w:rPr>
          <w:rFonts w:ascii="Tahoma" w:eastAsiaTheme="minorHAnsi" w:hAnsi="Tahoma" w:cs="Tahoma"/>
          <w:sz w:val="20"/>
          <w:szCs w:val="20"/>
          <w:lang w:eastAsia="en-US"/>
        </w:rPr>
        <w:t>SOGGETTI: IMPRENDITORI CHE USANO PRINCIPI CONTABILI OIC</w:t>
      </w:r>
    </w:p>
    <w:p w14:paraId="78A5A166" w14:textId="5032391E" w:rsidR="007F39F4" w:rsidRDefault="007F39F4" w:rsidP="009F685C">
      <w:pPr>
        <w:spacing w:after="200" w:line="360" w:lineRule="auto"/>
        <w:jc w:val="both"/>
        <w:rPr>
          <w:rFonts w:ascii="Tahoma" w:eastAsiaTheme="minorHAnsi" w:hAnsi="Tahoma" w:cs="Tahoma"/>
          <w:sz w:val="20"/>
          <w:szCs w:val="20"/>
          <w:lang w:eastAsia="en-US"/>
        </w:rPr>
      </w:pPr>
      <w:r>
        <w:rPr>
          <w:rFonts w:ascii="Tahoma" w:eastAsiaTheme="minorHAnsi" w:hAnsi="Tahoma" w:cs="Tahoma"/>
          <w:sz w:val="20"/>
          <w:szCs w:val="20"/>
          <w:lang w:eastAsia="en-US"/>
        </w:rPr>
        <w:t>OGGETTO: RIMANENZE INIZIALI DEL BILANCIO (IN CORSO AL 30 SETTEMBRE) 2023</w:t>
      </w:r>
    </w:p>
    <w:p w14:paraId="440F88B6" w14:textId="6FC2BB92" w:rsidR="007F39F4" w:rsidRDefault="007F39F4" w:rsidP="009F685C">
      <w:pPr>
        <w:spacing w:after="200" w:line="360" w:lineRule="auto"/>
        <w:jc w:val="both"/>
        <w:rPr>
          <w:rFonts w:ascii="Tahoma" w:eastAsiaTheme="minorHAnsi" w:hAnsi="Tahoma" w:cs="Tahoma"/>
          <w:sz w:val="20"/>
          <w:szCs w:val="20"/>
          <w:lang w:eastAsia="en-US"/>
        </w:rPr>
      </w:pPr>
      <w:r>
        <w:rPr>
          <w:rFonts w:ascii="Tahoma" w:eastAsiaTheme="minorHAnsi" w:hAnsi="Tahoma" w:cs="Tahoma"/>
          <w:sz w:val="20"/>
          <w:szCs w:val="20"/>
          <w:lang w:eastAsia="en-US"/>
        </w:rPr>
        <w:t>METODO: ELIMINAZIONE DELLE ESISTENZE INZIALI O ISCRIZIONE DI RIMANENZE INIZIALI OMESSE</w:t>
      </w:r>
    </w:p>
    <w:p w14:paraId="23E4A2EE" w14:textId="0FF80863" w:rsidR="007F39F4" w:rsidRDefault="007F39F4" w:rsidP="009F685C">
      <w:pPr>
        <w:spacing w:after="200" w:line="360" w:lineRule="auto"/>
        <w:jc w:val="both"/>
        <w:rPr>
          <w:rFonts w:ascii="Tahoma" w:eastAsiaTheme="minorHAnsi" w:hAnsi="Tahoma" w:cs="Tahoma"/>
          <w:sz w:val="20"/>
          <w:szCs w:val="20"/>
          <w:lang w:eastAsia="en-US"/>
        </w:rPr>
      </w:pPr>
      <w:r>
        <w:rPr>
          <w:rFonts w:ascii="Tahoma" w:eastAsiaTheme="minorHAnsi" w:hAnsi="Tahoma" w:cs="Tahoma"/>
          <w:sz w:val="20"/>
          <w:szCs w:val="20"/>
          <w:lang w:eastAsia="en-US"/>
        </w:rPr>
        <w:t>A livello di tassazione tra i due metodi sussistono differenze:</w:t>
      </w:r>
    </w:p>
    <w:p w14:paraId="037D42F3" w14:textId="77777777" w:rsidR="007F39F4" w:rsidRPr="007F39F4" w:rsidRDefault="007F39F4" w:rsidP="007F39F4">
      <w:pPr>
        <w:spacing w:after="200" w:line="360" w:lineRule="auto"/>
        <w:jc w:val="both"/>
        <w:rPr>
          <w:rFonts w:ascii="Tahoma" w:hAnsi="Tahoma" w:cs="Tahoma"/>
          <w:sz w:val="20"/>
          <w:szCs w:val="20"/>
        </w:rPr>
      </w:pPr>
      <w:r w:rsidRPr="007F39F4">
        <w:rPr>
          <w:rFonts w:ascii="Tahoma" w:hAnsi="Tahoma" w:cs="Tahoma"/>
          <w:b/>
          <w:bCs/>
          <w:sz w:val="20"/>
          <w:szCs w:val="20"/>
        </w:rPr>
        <w:t>1</w:t>
      </w:r>
      <w:r w:rsidRPr="007F39F4">
        <w:rPr>
          <w:rFonts w:ascii="Tahoma" w:hAnsi="Tahoma" w:cs="Tahoma"/>
          <w:b/>
          <w:bCs/>
          <w:sz w:val="20"/>
          <w:szCs w:val="20"/>
        </w:rPr>
        <w:sym w:font="Wingdings" w:char="F0E0"/>
      </w:r>
      <w:r w:rsidRPr="007F39F4">
        <w:rPr>
          <w:rFonts w:ascii="Tahoma" w:hAnsi="Tahoma" w:cs="Tahoma"/>
          <w:b/>
          <w:bCs/>
          <w:sz w:val="20"/>
          <w:szCs w:val="20"/>
        </w:rPr>
        <w:t xml:space="preserve"> eliminazione di quantità e valori superiori a quelli effettivi</w:t>
      </w:r>
    </w:p>
    <w:p w14:paraId="777E0E3C" w14:textId="77777777" w:rsidR="007F39F4" w:rsidRPr="007F39F4" w:rsidRDefault="007F39F4" w:rsidP="007F39F4">
      <w:pPr>
        <w:spacing w:after="200" w:line="360" w:lineRule="auto"/>
        <w:jc w:val="both"/>
        <w:rPr>
          <w:rFonts w:ascii="Tahoma" w:hAnsi="Tahoma" w:cs="Tahoma"/>
          <w:sz w:val="20"/>
          <w:szCs w:val="20"/>
        </w:rPr>
      </w:pPr>
      <w:r w:rsidRPr="007F39F4">
        <w:rPr>
          <w:rFonts w:ascii="Tahoma" w:hAnsi="Tahoma" w:cs="Tahoma"/>
          <w:b/>
          <w:bCs/>
          <w:sz w:val="20"/>
          <w:szCs w:val="20"/>
        </w:rPr>
        <w:t>In tal caso:</w:t>
      </w:r>
    </w:p>
    <w:p w14:paraId="39F50936" w14:textId="77777777" w:rsidR="007F39F4" w:rsidRPr="007F39F4" w:rsidRDefault="007F39F4" w:rsidP="007F39F4">
      <w:pPr>
        <w:spacing w:after="200" w:line="360" w:lineRule="auto"/>
        <w:jc w:val="both"/>
        <w:rPr>
          <w:rFonts w:ascii="Tahoma" w:hAnsi="Tahoma" w:cs="Tahoma"/>
          <w:sz w:val="20"/>
          <w:szCs w:val="20"/>
        </w:rPr>
      </w:pPr>
      <w:r w:rsidRPr="007F39F4">
        <w:rPr>
          <w:rFonts w:ascii="Tahoma" w:hAnsi="Tahoma" w:cs="Tahoma"/>
          <w:b/>
          <w:bCs/>
          <w:sz w:val="20"/>
          <w:szCs w:val="20"/>
        </w:rPr>
        <w:t xml:space="preserve">IVA </w:t>
      </w:r>
      <w:r w:rsidRPr="007F39F4">
        <w:rPr>
          <w:rFonts w:ascii="Tahoma" w:hAnsi="Tahoma" w:cs="Tahoma"/>
          <w:b/>
          <w:bCs/>
          <w:sz w:val="20"/>
          <w:szCs w:val="20"/>
        </w:rPr>
        <w:sym w:font="Wingdings" w:char="F0E0"/>
      </w:r>
      <w:r w:rsidRPr="007F39F4">
        <w:rPr>
          <w:rFonts w:ascii="Tahoma" w:hAnsi="Tahoma" w:cs="Tahoma"/>
          <w:b/>
          <w:bCs/>
          <w:sz w:val="20"/>
          <w:szCs w:val="20"/>
        </w:rPr>
        <w:t xml:space="preserve"> applicando l’aliquota media Iva del 2023 all’ammontare che si ottiene moltiplicando l’importo eliminato per un coefficiente di maggiorazione da stabilire con un decreto dirigenziale</w:t>
      </w:r>
    </w:p>
    <w:p w14:paraId="5F955A73" w14:textId="77777777" w:rsidR="007F39F4" w:rsidRPr="007F39F4" w:rsidRDefault="007F39F4" w:rsidP="007F39F4">
      <w:pPr>
        <w:spacing w:after="200" w:line="360" w:lineRule="auto"/>
        <w:jc w:val="both"/>
        <w:rPr>
          <w:rFonts w:ascii="Tahoma" w:hAnsi="Tahoma" w:cs="Tahoma"/>
          <w:sz w:val="20"/>
          <w:szCs w:val="20"/>
        </w:rPr>
      </w:pPr>
      <w:r w:rsidRPr="007F39F4">
        <w:rPr>
          <w:rFonts w:ascii="Tahoma" w:hAnsi="Tahoma" w:cs="Tahoma"/>
          <w:b/>
          <w:bCs/>
          <w:sz w:val="20"/>
          <w:szCs w:val="20"/>
        </w:rPr>
        <w:t xml:space="preserve">Imposta sostitutiva dell’Ires, Irpef e Irap </w:t>
      </w:r>
      <w:r w:rsidRPr="007F39F4">
        <w:rPr>
          <w:rFonts w:ascii="Tahoma" w:hAnsi="Tahoma" w:cs="Tahoma"/>
          <w:b/>
          <w:bCs/>
          <w:sz w:val="20"/>
          <w:szCs w:val="20"/>
        </w:rPr>
        <w:sym w:font="Wingdings" w:char="F0E0"/>
      </w:r>
      <w:r w:rsidRPr="007F39F4">
        <w:rPr>
          <w:rFonts w:ascii="Tahoma" w:hAnsi="Tahoma" w:cs="Tahoma"/>
          <w:b/>
          <w:bCs/>
          <w:sz w:val="20"/>
          <w:szCs w:val="20"/>
        </w:rPr>
        <w:t xml:space="preserve"> 18% della differenza tra ammontare eliminato moltiplicato per il coefficiente di maggiorazione e l’importo eliminato  </w:t>
      </w:r>
    </w:p>
    <w:p w14:paraId="0CFBCE13" w14:textId="77777777" w:rsidR="00C44095" w:rsidRDefault="00C44095">
      <w:pPr>
        <w:spacing w:after="160" w:line="259" w:lineRule="auto"/>
        <w:rPr>
          <w:rFonts w:ascii="Tahoma" w:hAnsi="Tahoma" w:cs="Tahoma"/>
          <w:sz w:val="20"/>
          <w:szCs w:val="20"/>
        </w:rPr>
      </w:pPr>
      <w:r>
        <w:rPr>
          <w:rFonts w:ascii="Tahoma" w:hAnsi="Tahoma" w:cs="Tahoma"/>
          <w:sz w:val="20"/>
          <w:szCs w:val="20"/>
        </w:rPr>
        <w:br w:type="page"/>
      </w:r>
    </w:p>
    <w:p w14:paraId="7B2E9E82" w14:textId="7B1C6FD9" w:rsidR="007F39F4" w:rsidRPr="007F39F4" w:rsidRDefault="007F39F4" w:rsidP="00C44095">
      <w:pPr>
        <w:spacing w:after="200" w:line="360" w:lineRule="auto"/>
        <w:jc w:val="both"/>
        <w:rPr>
          <w:rFonts w:ascii="Tahoma" w:hAnsi="Tahoma" w:cs="Tahoma"/>
          <w:sz w:val="20"/>
          <w:szCs w:val="20"/>
        </w:rPr>
      </w:pPr>
      <w:r w:rsidRPr="007F39F4">
        <w:rPr>
          <w:rFonts w:ascii="Tahoma" w:hAnsi="Tahoma" w:cs="Tahoma"/>
          <w:sz w:val="20"/>
          <w:szCs w:val="20"/>
        </w:rPr>
        <w:lastRenderedPageBreak/>
        <w:t>Quindi:</w:t>
      </w:r>
    </w:p>
    <w:p w14:paraId="4683E4A7" w14:textId="77777777" w:rsidR="007F39F4" w:rsidRPr="007F39F4" w:rsidRDefault="007F39F4" w:rsidP="00196E4D">
      <w:pPr>
        <w:numPr>
          <w:ilvl w:val="0"/>
          <w:numId w:val="20"/>
        </w:numPr>
        <w:spacing w:after="200" w:line="360" w:lineRule="auto"/>
        <w:contextualSpacing/>
        <w:jc w:val="both"/>
        <w:rPr>
          <w:rFonts w:ascii="Tahoma" w:hAnsi="Tahoma" w:cs="Tahoma"/>
          <w:sz w:val="20"/>
          <w:szCs w:val="20"/>
        </w:rPr>
      </w:pPr>
      <w:r w:rsidRPr="007F39F4">
        <w:rPr>
          <w:rFonts w:ascii="Tahoma" w:hAnsi="Tahoma" w:cs="Tahoma"/>
          <w:sz w:val="20"/>
          <w:szCs w:val="20"/>
        </w:rPr>
        <w:t>Rimanenze finali al 31/12/2022: 100</w:t>
      </w:r>
    </w:p>
    <w:p w14:paraId="4CE7A539" w14:textId="77777777" w:rsidR="007F39F4" w:rsidRPr="007F39F4" w:rsidRDefault="007F39F4" w:rsidP="00196E4D">
      <w:pPr>
        <w:numPr>
          <w:ilvl w:val="0"/>
          <w:numId w:val="20"/>
        </w:numPr>
        <w:spacing w:after="200" w:line="360" w:lineRule="auto"/>
        <w:contextualSpacing/>
        <w:jc w:val="both"/>
        <w:rPr>
          <w:rFonts w:ascii="Tahoma" w:hAnsi="Tahoma" w:cs="Tahoma"/>
          <w:sz w:val="20"/>
          <w:szCs w:val="20"/>
        </w:rPr>
      </w:pPr>
      <w:r w:rsidRPr="007F39F4">
        <w:rPr>
          <w:rFonts w:ascii="Tahoma" w:hAnsi="Tahoma" w:cs="Tahoma"/>
          <w:sz w:val="20"/>
          <w:szCs w:val="20"/>
        </w:rPr>
        <w:t>Eliminazione: 20</w:t>
      </w:r>
    </w:p>
    <w:p w14:paraId="6DBA4B47" w14:textId="5EEFEBC9" w:rsidR="007F39F4" w:rsidRPr="007F39F4" w:rsidRDefault="007F39F4" w:rsidP="00196E4D">
      <w:pPr>
        <w:numPr>
          <w:ilvl w:val="0"/>
          <w:numId w:val="20"/>
        </w:numPr>
        <w:spacing w:after="200" w:line="360" w:lineRule="auto"/>
        <w:contextualSpacing/>
        <w:jc w:val="both"/>
        <w:rPr>
          <w:rFonts w:ascii="Tahoma" w:hAnsi="Tahoma" w:cs="Tahoma"/>
          <w:sz w:val="20"/>
          <w:szCs w:val="20"/>
        </w:rPr>
      </w:pPr>
      <w:r w:rsidRPr="007F39F4">
        <w:rPr>
          <w:rFonts w:ascii="Tahoma" w:hAnsi="Tahoma" w:cs="Tahoma"/>
          <w:sz w:val="20"/>
          <w:szCs w:val="20"/>
        </w:rPr>
        <w:t>Coefficiente di maggiorazione</w:t>
      </w:r>
      <w:r>
        <w:rPr>
          <w:rStyle w:val="Rimandonotaapidipagina"/>
          <w:rFonts w:ascii="Tahoma" w:hAnsi="Tahoma" w:cs="Tahoma"/>
          <w:sz w:val="20"/>
          <w:szCs w:val="20"/>
        </w:rPr>
        <w:footnoteReference w:id="5"/>
      </w:r>
      <w:r w:rsidRPr="007F39F4">
        <w:rPr>
          <w:rFonts w:ascii="Tahoma" w:hAnsi="Tahoma" w:cs="Tahoma"/>
          <w:sz w:val="20"/>
          <w:szCs w:val="20"/>
        </w:rPr>
        <w:t>; 1,2</w:t>
      </w:r>
    </w:p>
    <w:p w14:paraId="1EE6DF40" w14:textId="77777777" w:rsidR="007F39F4" w:rsidRPr="007F39F4" w:rsidRDefault="007F39F4" w:rsidP="00196E4D">
      <w:pPr>
        <w:numPr>
          <w:ilvl w:val="0"/>
          <w:numId w:val="20"/>
        </w:numPr>
        <w:spacing w:after="200" w:line="360" w:lineRule="auto"/>
        <w:contextualSpacing/>
        <w:jc w:val="both"/>
        <w:rPr>
          <w:rFonts w:ascii="Tahoma" w:hAnsi="Tahoma" w:cs="Tahoma"/>
          <w:sz w:val="20"/>
          <w:szCs w:val="20"/>
        </w:rPr>
      </w:pPr>
      <w:r w:rsidRPr="007F39F4">
        <w:rPr>
          <w:rFonts w:ascii="Tahoma" w:hAnsi="Tahoma" w:cs="Tahoma"/>
          <w:sz w:val="20"/>
          <w:szCs w:val="20"/>
        </w:rPr>
        <w:t>Base imponibile per Iva: 20 x 1,2= 24</w:t>
      </w:r>
    </w:p>
    <w:p w14:paraId="1A0F68DA" w14:textId="77777777" w:rsidR="007F39F4" w:rsidRPr="007F39F4" w:rsidRDefault="007F39F4" w:rsidP="00196E4D">
      <w:pPr>
        <w:numPr>
          <w:ilvl w:val="0"/>
          <w:numId w:val="20"/>
        </w:numPr>
        <w:spacing w:after="200" w:line="360" w:lineRule="auto"/>
        <w:contextualSpacing/>
        <w:jc w:val="both"/>
        <w:rPr>
          <w:rFonts w:ascii="Tahoma" w:hAnsi="Tahoma" w:cs="Tahoma"/>
          <w:sz w:val="20"/>
          <w:szCs w:val="20"/>
        </w:rPr>
      </w:pPr>
      <w:r w:rsidRPr="007F39F4">
        <w:rPr>
          <w:rFonts w:ascii="Tahoma" w:hAnsi="Tahoma" w:cs="Tahoma"/>
          <w:sz w:val="20"/>
          <w:szCs w:val="20"/>
        </w:rPr>
        <w:t>Aliquota media: 22%</w:t>
      </w:r>
    </w:p>
    <w:p w14:paraId="33690362" w14:textId="691F9177" w:rsidR="007F39F4" w:rsidRDefault="007F39F4" w:rsidP="00196E4D">
      <w:pPr>
        <w:numPr>
          <w:ilvl w:val="0"/>
          <w:numId w:val="20"/>
        </w:numPr>
        <w:spacing w:after="200" w:line="360" w:lineRule="auto"/>
        <w:contextualSpacing/>
        <w:jc w:val="both"/>
        <w:rPr>
          <w:rFonts w:ascii="Tahoma" w:hAnsi="Tahoma" w:cs="Tahoma"/>
          <w:sz w:val="20"/>
          <w:szCs w:val="20"/>
        </w:rPr>
      </w:pPr>
      <w:r w:rsidRPr="007F39F4">
        <w:rPr>
          <w:rFonts w:ascii="Tahoma" w:hAnsi="Tahoma" w:cs="Tahoma"/>
          <w:sz w:val="20"/>
          <w:szCs w:val="20"/>
        </w:rPr>
        <w:t>Iva= 24 x 22% = 5,28%</w:t>
      </w:r>
    </w:p>
    <w:p w14:paraId="48B37CB8" w14:textId="77777777" w:rsidR="00A816EE" w:rsidRPr="00C44095" w:rsidRDefault="00A816EE" w:rsidP="00493351">
      <w:pPr>
        <w:spacing w:after="200" w:line="360" w:lineRule="auto"/>
        <w:ind w:left="720"/>
        <w:contextualSpacing/>
        <w:jc w:val="both"/>
        <w:rPr>
          <w:rFonts w:ascii="Tahoma" w:hAnsi="Tahoma" w:cs="Tahoma"/>
          <w:sz w:val="20"/>
          <w:szCs w:val="20"/>
        </w:rPr>
      </w:pPr>
    </w:p>
    <w:p w14:paraId="635E6AB1" w14:textId="77777777" w:rsidR="00EF529C" w:rsidRPr="00EF529C" w:rsidRDefault="00EF529C" w:rsidP="00196E4D">
      <w:pPr>
        <w:numPr>
          <w:ilvl w:val="0"/>
          <w:numId w:val="21"/>
        </w:numPr>
        <w:spacing w:after="200" w:line="360" w:lineRule="auto"/>
        <w:contextualSpacing/>
        <w:jc w:val="both"/>
        <w:rPr>
          <w:rFonts w:ascii="Tahoma" w:hAnsi="Tahoma" w:cs="Tahoma"/>
          <w:sz w:val="20"/>
          <w:szCs w:val="20"/>
        </w:rPr>
      </w:pPr>
      <w:r w:rsidRPr="00EF529C">
        <w:rPr>
          <w:rFonts w:ascii="Tahoma" w:hAnsi="Tahoma" w:cs="Tahoma"/>
          <w:sz w:val="20"/>
          <w:szCs w:val="20"/>
        </w:rPr>
        <w:t>Base imponibile Iva: 24</w:t>
      </w:r>
    </w:p>
    <w:p w14:paraId="382FFC37" w14:textId="77777777" w:rsidR="00EF529C" w:rsidRPr="00EF529C" w:rsidRDefault="00EF529C" w:rsidP="00196E4D">
      <w:pPr>
        <w:numPr>
          <w:ilvl w:val="0"/>
          <w:numId w:val="21"/>
        </w:numPr>
        <w:spacing w:after="200" w:line="360" w:lineRule="auto"/>
        <w:contextualSpacing/>
        <w:jc w:val="both"/>
        <w:rPr>
          <w:rFonts w:ascii="Tahoma" w:hAnsi="Tahoma" w:cs="Tahoma"/>
          <w:sz w:val="20"/>
          <w:szCs w:val="20"/>
        </w:rPr>
      </w:pPr>
      <w:r w:rsidRPr="00EF529C">
        <w:rPr>
          <w:rFonts w:ascii="Tahoma" w:hAnsi="Tahoma" w:cs="Tahoma"/>
          <w:sz w:val="20"/>
          <w:szCs w:val="20"/>
        </w:rPr>
        <w:t>Eliminazione: 20</w:t>
      </w:r>
    </w:p>
    <w:p w14:paraId="23EBA3BF" w14:textId="6A064B7B" w:rsidR="00EF529C" w:rsidRPr="00EF529C" w:rsidRDefault="00EF529C" w:rsidP="00196E4D">
      <w:pPr>
        <w:numPr>
          <w:ilvl w:val="0"/>
          <w:numId w:val="21"/>
        </w:numPr>
        <w:spacing w:after="200" w:line="360" w:lineRule="auto"/>
        <w:contextualSpacing/>
        <w:jc w:val="both"/>
        <w:rPr>
          <w:rFonts w:ascii="Tahoma" w:hAnsi="Tahoma" w:cs="Tahoma"/>
          <w:sz w:val="20"/>
          <w:szCs w:val="20"/>
        </w:rPr>
      </w:pPr>
      <w:r w:rsidRPr="00EF529C">
        <w:rPr>
          <w:rFonts w:ascii="Tahoma" w:hAnsi="Tahoma" w:cs="Tahoma"/>
          <w:sz w:val="20"/>
          <w:szCs w:val="20"/>
        </w:rPr>
        <w:t>Base imponibile per impost</w:t>
      </w:r>
      <w:r w:rsidR="00A816EE">
        <w:rPr>
          <w:rFonts w:ascii="Tahoma" w:hAnsi="Tahoma" w:cs="Tahoma"/>
          <w:sz w:val="20"/>
          <w:szCs w:val="20"/>
        </w:rPr>
        <w:t>a</w:t>
      </w:r>
      <w:r w:rsidRPr="00EF529C">
        <w:rPr>
          <w:rFonts w:ascii="Tahoma" w:hAnsi="Tahoma" w:cs="Tahoma"/>
          <w:sz w:val="20"/>
          <w:szCs w:val="20"/>
        </w:rPr>
        <w:t xml:space="preserve"> sostitutiva: 24 – 20 = 4</w:t>
      </w:r>
    </w:p>
    <w:p w14:paraId="21F5A118" w14:textId="77777777" w:rsidR="00EF529C" w:rsidRPr="00EF529C" w:rsidRDefault="00EF529C" w:rsidP="00196E4D">
      <w:pPr>
        <w:numPr>
          <w:ilvl w:val="0"/>
          <w:numId w:val="21"/>
        </w:numPr>
        <w:spacing w:after="200" w:line="360" w:lineRule="auto"/>
        <w:contextualSpacing/>
        <w:jc w:val="both"/>
        <w:rPr>
          <w:rFonts w:ascii="Tahoma" w:hAnsi="Tahoma" w:cs="Tahoma"/>
          <w:sz w:val="20"/>
          <w:szCs w:val="20"/>
        </w:rPr>
      </w:pPr>
      <w:r w:rsidRPr="00EF529C">
        <w:rPr>
          <w:rFonts w:ascii="Tahoma" w:hAnsi="Tahoma" w:cs="Tahoma"/>
          <w:sz w:val="20"/>
          <w:szCs w:val="20"/>
        </w:rPr>
        <w:t>Imposta sostitutiva: 4 x 18% = 0,72</w:t>
      </w:r>
    </w:p>
    <w:p w14:paraId="70682545" w14:textId="77777777" w:rsidR="00EF529C" w:rsidRDefault="00EF529C" w:rsidP="009F685C">
      <w:pPr>
        <w:spacing w:after="200" w:line="360" w:lineRule="auto"/>
        <w:jc w:val="both"/>
        <w:rPr>
          <w:rFonts w:ascii="Tahoma" w:hAnsi="Tahoma" w:cs="Tahoma"/>
          <w:sz w:val="20"/>
          <w:szCs w:val="20"/>
        </w:rPr>
      </w:pPr>
    </w:p>
    <w:p w14:paraId="45E1854A" w14:textId="51152EEB" w:rsidR="00EF529C" w:rsidRPr="00EF529C" w:rsidRDefault="00EF529C" w:rsidP="00EF529C">
      <w:pPr>
        <w:spacing w:after="200" w:line="360" w:lineRule="auto"/>
        <w:jc w:val="both"/>
        <w:rPr>
          <w:rFonts w:ascii="Tahoma" w:hAnsi="Tahoma" w:cs="Tahoma"/>
          <w:sz w:val="20"/>
          <w:szCs w:val="20"/>
        </w:rPr>
      </w:pPr>
      <w:r w:rsidRPr="00EF529C">
        <w:rPr>
          <w:rFonts w:ascii="Tahoma" w:hAnsi="Tahoma" w:cs="Tahoma"/>
          <w:b/>
          <w:bCs/>
          <w:sz w:val="20"/>
          <w:szCs w:val="20"/>
        </w:rPr>
        <w:t>2</w:t>
      </w:r>
      <w:r w:rsidR="00CB5B64">
        <w:rPr>
          <w:rFonts w:ascii="Tahoma" w:hAnsi="Tahoma" w:cs="Tahoma"/>
          <w:b/>
          <w:bCs/>
          <w:sz w:val="20"/>
          <w:szCs w:val="20"/>
        </w:rPr>
        <w:t>.</w:t>
      </w:r>
      <w:r w:rsidRPr="00EF529C">
        <w:rPr>
          <w:rFonts w:ascii="Tahoma" w:hAnsi="Tahoma" w:cs="Tahoma"/>
          <w:b/>
          <w:bCs/>
          <w:sz w:val="20"/>
          <w:szCs w:val="20"/>
        </w:rPr>
        <w:sym w:font="Wingdings" w:char="F0E0"/>
      </w:r>
      <w:r w:rsidR="00CB5B64">
        <w:rPr>
          <w:rFonts w:ascii="Tahoma" w:hAnsi="Tahoma" w:cs="Tahoma"/>
          <w:b/>
          <w:bCs/>
          <w:sz w:val="20"/>
          <w:szCs w:val="20"/>
        </w:rPr>
        <w:t xml:space="preserve"> </w:t>
      </w:r>
      <w:r w:rsidRPr="00EF529C">
        <w:rPr>
          <w:rFonts w:ascii="Tahoma" w:hAnsi="Tahoma" w:cs="Tahoma"/>
          <w:b/>
          <w:bCs/>
          <w:sz w:val="20"/>
          <w:szCs w:val="20"/>
        </w:rPr>
        <w:t>registrazioni di esistenze iniziale precedentemente omesse</w:t>
      </w:r>
    </w:p>
    <w:p w14:paraId="77C35174" w14:textId="77777777" w:rsidR="00EF529C" w:rsidRPr="00EF529C" w:rsidRDefault="00EF529C" w:rsidP="00EF529C">
      <w:pPr>
        <w:spacing w:after="200" w:line="360" w:lineRule="auto"/>
        <w:jc w:val="both"/>
        <w:rPr>
          <w:rFonts w:ascii="Tahoma" w:hAnsi="Tahoma" w:cs="Tahoma"/>
          <w:sz w:val="20"/>
          <w:szCs w:val="20"/>
        </w:rPr>
      </w:pPr>
      <w:r w:rsidRPr="00EF529C">
        <w:rPr>
          <w:rFonts w:ascii="Tahoma" w:hAnsi="Tahoma" w:cs="Tahoma"/>
          <w:b/>
          <w:bCs/>
          <w:sz w:val="20"/>
          <w:szCs w:val="20"/>
        </w:rPr>
        <w:t>Imposta sostitutiva del 18% del maggior valore iscritto</w:t>
      </w:r>
    </w:p>
    <w:p w14:paraId="1B18CCB9" w14:textId="77777777" w:rsidR="00EF529C" w:rsidRPr="00EF529C" w:rsidRDefault="00EF529C" w:rsidP="00EF529C">
      <w:pPr>
        <w:spacing w:after="200" w:line="360" w:lineRule="auto"/>
        <w:jc w:val="both"/>
        <w:rPr>
          <w:rFonts w:ascii="Tahoma" w:hAnsi="Tahoma" w:cs="Tahoma"/>
          <w:sz w:val="20"/>
          <w:szCs w:val="20"/>
        </w:rPr>
      </w:pPr>
      <w:r w:rsidRPr="00EF529C">
        <w:rPr>
          <w:rFonts w:ascii="Tahoma" w:hAnsi="Tahoma" w:cs="Tahoma"/>
          <w:sz w:val="20"/>
          <w:szCs w:val="20"/>
        </w:rPr>
        <w:t>Rimanenze iniziali: 100</w:t>
      </w:r>
    </w:p>
    <w:p w14:paraId="2172992B" w14:textId="77777777" w:rsidR="00EF529C" w:rsidRPr="00EF529C" w:rsidRDefault="00EF529C" w:rsidP="00EF529C">
      <w:pPr>
        <w:spacing w:after="200" w:line="360" w:lineRule="auto"/>
        <w:jc w:val="both"/>
        <w:rPr>
          <w:rFonts w:ascii="Tahoma" w:hAnsi="Tahoma" w:cs="Tahoma"/>
          <w:sz w:val="20"/>
          <w:szCs w:val="20"/>
        </w:rPr>
      </w:pPr>
      <w:r w:rsidRPr="00EF529C">
        <w:rPr>
          <w:rFonts w:ascii="Tahoma" w:hAnsi="Tahoma" w:cs="Tahoma"/>
          <w:sz w:val="20"/>
          <w:szCs w:val="20"/>
        </w:rPr>
        <w:t>Maggior valore: 10</w:t>
      </w:r>
    </w:p>
    <w:p w14:paraId="446AD6CB" w14:textId="77777777" w:rsidR="00EF529C" w:rsidRDefault="00EF529C" w:rsidP="00EF529C">
      <w:pPr>
        <w:spacing w:after="200" w:line="360" w:lineRule="auto"/>
        <w:jc w:val="both"/>
        <w:rPr>
          <w:rFonts w:ascii="Tahoma" w:hAnsi="Tahoma" w:cs="Tahoma"/>
          <w:sz w:val="20"/>
          <w:szCs w:val="20"/>
        </w:rPr>
      </w:pPr>
      <w:r w:rsidRPr="00EF529C">
        <w:rPr>
          <w:rFonts w:ascii="Tahoma" w:hAnsi="Tahoma" w:cs="Tahoma"/>
          <w:sz w:val="20"/>
          <w:szCs w:val="20"/>
        </w:rPr>
        <w:t>Imposta sostitutiva: 1,8</w:t>
      </w:r>
    </w:p>
    <w:p w14:paraId="56123239" w14:textId="6C1D7A0D" w:rsidR="00CB5B64" w:rsidRPr="00CB5B64" w:rsidRDefault="00CB5B64" w:rsidP="00CB5B64">
      <w:pPr>
        <w:spacing w:after="200" w:line="360" w:lineRule="auto"/>
        <w:jc w:val="both"/>
        <w:rPr>
          <w:rFonts w:ascii="Tahoma" w:hAnsi="Tahoma" w:cs="Tahoma"/>
          <w:sz w:val="20"/>
          <w:szCs w:val="20"/>
        </w:rPr>
      </w:pPr>
      <w:r>
        <w:rPr>
          <w:rFonts w:ascii="Tahoma" w:hAnsi="Tahoma" w:cs="Tahoma"/>
          <w:sz w:val="20"/>
          <w:szCs w:val="20"/>
        </w:rPr>
        <w:t>L’adeguamento v</w:t>
      </w:r>
      <w:r w:rsidRPr="00196E4D">
        <w:rPr>
          <w:rFonts w:ascii="Tahoma" w:hAnsi="Tahoma" w:cs="Tahoma"/>
          <w:sz w:val="20"/>
          <w:szCs w:val="20"/>
        </w:rPr>
        <w:t xml:space="preserve">a richiesto nella dichiarazione </w:t>
      </w:r>
      <w:r>
        <w:rPr>
          <w:rFonts w:ascii="Tahoma" w:hAnsi="Tahoma" w:cs="Tahoma"/>
          <w:sz w:val="20"/>
          <w:szCs w:val="20"/>
        </w:rPr>
        <w:t xml:space="preserve">dei redditi </w:t>
      </w:r>
      <w:r w:rsidRPr="00196E4D">
        <w:rPr>
          <w:rFonts w:ascii="Tahoma" w:hAnsi="Tahoma" w:cs="Tahoma"/>
          <w:sz w:val="20"/>
          <w:szCs w:val="20"/>
        </w:rPr>
        <w:t>al 31 dicembre 2023</w:t>
      </w:r>
      <w:r>
        <w:rPr>
          <w:rFonts w:ascii="Tahoma" w:hAnsi="Tahoma" w:cs="Tahoma"/>
          <w:sz w:val="20"/>
          <w:szCs w:val="20"/>
        </w:rPr>
        <w:t xml:space="preserve"> ed il p</w:t>
      </w:r>
      <w:r w:rsidRPr="00196E4D">
        <w:rPr>
          <w:rFonts w:ascii="Tahoma" w:hAnsi="Tahoma" w:cs="Tahoma"/>
          <w:sz w:val="20"/>
          <w:szCs w:val="20"/>
        </w:rPr>
        <w:t xml:space="preserve">agamento </w:t>
      </w:r>
      <w:r>
        <w:rPr>
          <w:rFonts w:ascii="Tahoma" w:hAnsi="Tahoma" w:cs="Tahoma"/>
          <w:sz w:val="20"/>
          <w:szCs w:val="20"/>
        </w:rPr>
        <w:t xml:space="preserve">va eseguito </w:t>
      </w:r>
      <w:r w:rsidRPr="00196E4D">
        <w:rPr>
          <w:rFonts w:ascii="Tahoma" w:hAnsi="Tahoma" w:cs="Tahoma"/>
          <w:sz w:val="20"/>
          <w:szCs w:val="20"/>
        </w:rPr>
        <w:t>in due rate:</w:t>
      </w:r>
    </w:p>
    <w:p w14:paraId="131D86FB" w14:textId="2A70B197" w:rsidR="00CB5B64" w:rsidRPr="009208F3" w:rsidRDefault="00CB5B64" w:rsidP="009208F3">
      <w:pPr>
        <w:pStyle w:val="Paragrafoelenco"/>
        <w:numPr>
          <w:ilvl w:val="1"/>
          <w:numId w:val="28"/>
        </w:numPr>
        <w:spacing w:after="200" w:line="360" w:lineRule="auto"/>
        <w:ind w:left="709"/>
        <w:jc w:val="both"/>
        <w:rPr>
          <w:rFonts w:ascii="Tahoma" w:hAnsi="Tahoma" w:cs="Tahoma"/>
          <w:sz w:val="20"/>
          <w:szCs w:val="20"/>
        </w:rPr>
      </w:pPr>
      <w:r w:rsidRPr="009208F3">
        <w:rPr>
          <w:rFonts w:ascii="Tahoma" w:hAnsi="Tahoma" w:cs="Tahoma"/>
          <w:sz w:val="20"/>
          <w:szCs w:val="20"/>
        </w:rPr>
        <w:t>la prima entro il termine del saldo per l’anno 2023</w:t>
      </w:r>
    </w:p>
    <w:p w14:paraId="6ED00F97" w14:textId="4F7F4F99" w:rsidR="00CB5B64" w:rsidRPr="009208F3" w:rsidRDefault="00CB5B64" w:rsidP="009208F3">
      <w:pPr>
        <w:pStyle w:val="Paragrafoelenco"/>
        <w:numPr>
          <w:ilvl w:val="1"/>
          <w:numId w:val="28"/>
        </w:numPr>
        <w:spacing w:after="200" w:line="360" w:lineRule="auto"/>
        <w:ind w:left="709"/>
        <w:jc w:val="both"/>
        <w:rPr>
          <w:rFonts w:ascii="Tahoma" w:hAnsi="Tahoma" w:cs="Tahoma"/>
          <w:sz w:val="20"/>
          <w:szCs w:val="20"/>
        </w:rPr>
      </w:pPr>
      <w:r w:rsidRPr="009208F3">
        <w:rPr>
          <w:rFonts w:ascii="Tahoma" w:hAnsi="Tahoma" w:cs="Tahoma"/>
          <w:sz w:val="20"/>
          <w:szCs w:val="20"/>
        </w:rPr>
        <w:t>la seconda entro il termine del secondo (o unico) acconto dell’anno 2024</w:t>
      </w:r>
    </w:p>
    <w:p w14:paraId="3EF30DD7" w14:textId="0833254D" w:rsidR="00CB5B64" w:rsidRDefault="00CB5B64" w:rsidP="00CB5B64">
      <w:pPr>
        <w:spacing w:after="200" w:line="360" w:lineRule="auto"/>
        <w:jc w:val="both"/>
        <w:rPr>
          <w:rFonts w:ascii="Tahoma" w:hAnsi="Tahoma" w:cs="Tahoma"/>
          <w:sz w:val="20"/>
          <w:szCs w:val="20"/>
        </w:rPr>
      </w:pPr>
      <w:r w:rsidRPr="00196E4D">
        <w:rPr>
          <w:rFonts w:ascii="Tahoma" w:hAnsi="Tahoma" w:cs="Tahoma"/>
          <w:sz w:val="20"/>
          <w:szCs w:val="20"/>
        </w:rPr>
        <w:t xml:space="preserve">In caso di mancato pagamento </w:t>
      </w:r>
      <w:r>
        <w:rPr>
          <w:rFonts w:ascii="Tahoma" w:hAnsi="Tahoma" w:cs="Tahoma"/>
          <w:sz w:val="20"/>
          <w:szCs w:val="20"/>
        </w:rPr>
        <w:t xml:space="preserve">consegue </w:t>
      </w:r>
      <w:r w:rsidRPr="00196E4D">
        <w:rPr>
          <w:rFonts w:ascii="Tahoma" w:hAnsi="Tahoma" w:cs="Tahoma"/>
          <w:sz w:val="20"/>
          <w:szCs w:val="20"/>
        </w:rPr>
        <w:t>iscrizione a ruolo delle somme non pagate e degli interess</w:t>
      </w:r>
      <w:r>
        <w:rPr>
          <w:rFonts w:ascii="Tahoma" w:hAnsi="Tahoma" w:cs="Tahoma"/>
          <w:sz w:val="20"/>
          <w:szCs w:val="20"/>
        </w:rPr>
        <w:t>i</w:t>
      </w:r>
      <w:r w:rsidRPr="00196E4D">
        <w:rPr>
          <w:rFonts w:ascii="Tahoma" w:hAnsi="Tahoma" w:cs="Tahoma"/>
          <w:sz w:val="20"/>
          <w:szCs w:val="20"/>
        </w:rPr>
        <w:t xml:space="preserve"> e sanzioni</w:t>
      </w:r>
      <w:r>
        <w:rPr>
          <w:rFonts w:ascii="Tahoma" w:hAnsi="Tahoma" w:cs="Tahoma"/>
          <w:sz w:val="20"/>
          <w:szCs w:val="20"/>
        </w:rPr>
        <w:t>.</w:t>
      </w:r>
    </w:p>
    <w:p w14:paraId="184DD1B3" w14:textId="790D87E7" w:rsidR="00CB5B64" w:rsidRDefault="00CB5B64" w:rsidP="00CB5B64">
      <w:pPr>
        <w:spacing w:after="200" w:line="360" w:lineRule="auto"/>
        <w:jc w:val="both"/>
        <w:rPr>
          <w:rFonts w:ascii="Tahoma" w:hAnsi="Tahoma" w:cs="Tahoma"/>
          <w:sz w:val="20"/>
          <w:szCs w:val="20"/>
        </w:rPr>
      </w:pPr>
      <w:r>
        <w:rPr>
          <w:rFonts w:ascii="Tahoma" w:hAnsi="Tahoma" w:cs="Tahoma"/>
          <w:sz w:val="20"/>
          <w:szCs w:val="20"/>
        </w:rPr>
        <w:t>Particolarmente interessante la previsione della norma, secondo la quale l</w:t>
      </w:r>
      <w:r w:rsidRPr="00CB5B64">
        <w:rPr>
          <w:rFonts w:ascii="Tahoma" w:hAnsi="Tahoma" w:cs="Tahoma"/>
          <w:sz w:val="20"/>
          <w:szCs w:val="20"/>
        </w:rPr>
        <w:t>’adeguamento non comporta sanzioni di alcun genere</w:t>
      </w:r>
      <w:r>
        <w:rPr>
          <w:rFonts w:ascii="Tahoma" w:hAnsi="Tahoma" w:cs="Tahoma"/>
          <w:sz w:val="20"/>
          <w:szCs w:val="20"/>
        </w:rPr>
        <w:t xml:space="preserve"> e i valori introdotti o eliminati non possono essere utilizzati ai fini dell’accertamento nei periodi d’imposta precedente.</w:t>
      </w:r>
    </w:p>
    <w:p w14:paraId="701F748C" w14:textId="2892F23A" w:rsidR="00CB5B64" w:rsidRDefault="00CB5B64" w:rsidP="00CB5B64">
      <w:pPr>
        <w:spacing w:after="200" w:line="360" w:lineRule="auto"/>
        <w:jc w:val="both"/>
        <w:rPr>
          <w:rFonts w:ascii="Tahoma" w:hAnsi="Tahoma" w:cs="Tahoma"/>
          <w:sz w:val="20"/>
          <w:szCs w:val="20"/>
        </w:rPr>
      </w:pPr>
      <w:r>
        <w:rPr>
          <w:rFonts w:ascii="Tahoma" w:hAnsi="Tahoma" w:cs="Tahoma"/>
          <w:sz w:val="20"/>
          <w:szCs w:val="20"/>
        </w:rPr>
        <w:t xml:space="preserve">La normativa </w:t>
      </w:r>
      <w:r>
        <w:rPr>
          <w:rFonts w:ascii="Tahoma" w:hAnsi="Tahoma" w:cs="Tahoma"/>
          <w:i/>
          <w:iCs/>
          <w:sz w:val="20"/>
          <w:szCs w:val="20"/>
        </w:rPr>
        <w:t>de qua</w:t>
      </w:r>
      <w:r>
        <w:rPr>
          <w:rFonts w:ascii="Tahoma" w:hAnsi="Tahoma" w:cs="Tahoma"/>
          <w:sz w:val="20"/>
          <w:szCs w:val="20"/>
        </w:rPr>
        <w:t xml:space="preserve"> è identica a quella stabilita dalla Legge Finanziaria del 2000.</w:t>
      </w:r>
    </w:p>
    <w:p w14:paraId="599CC437" w14:textId="1773A9A0" w:rsidR="00CB5B64" w:rsidRPr="00CB5B64" w:rsidRDefault="00CB5B64" w:rsidP="00CB5B64">
      <w:pPr>
        <w:spacing w:after="200" w:line="360" w:lineRule="auto"/>
        <w:jc w:val="both"/>
        <w:rPr>
          <w:rFonts w:ascii="Tahoma" w:hAnsi="Tahoma" w:cs="Tahoma"/>
          <w:sz w:val="20"/>
          <w:szCs w:val="20"/>
        </w:rPr>
      </w:pPr>
      <w:r>
        <w:rPr>
          <w:rFonts w:ascii="Tahoma" w:hAnsi="Tahoma" w:cs="Tahoma"/>
          <w:sz w:val="20"/>
          <w:szCs w:val="20"/>
        </w:rPr>
        <w:t xml:space="preserve">La Circolare 115 del 1/6/2000, emessa dal </w:t>
      </w:r>
      <w:r w:rsidRPr="00196E4D">
        <w:rPr>
          <w:rFonts w:ascii="Tahoma" w:hAnsi="Tahoma" w:cs="Tahoma"/>
          <w:sz w:val="20"/>
          <w:szCs w:val="20"/>
        </w:rPr>
        <w:t>Min. Finanze - Dip. Entrate Accertamento e</w:t>
      </w:r>
      <w:r>
        <w:rPr>
          <w:rFonts w:ascii="Tahoma" w:hAnsi="Tahoma" w:cs="Tahoma"/>
          <w:sz w:val="20"/>
          <w:szCs w:val="20"/>
        </w:rPr>
        <w:t xml:space="preserve"> </w:t>
      </w:r>
      <w:r w:rsidRPr="00196E4D">
        <w:rPr>
          <w:rFonts w:ascii="Tahoma" w:hAnsi="Tahoma" w:cs="Tahoma"/>
          <w:sz w:val="20"/>
          <w:szCs w:val="20"/>
        </w:rPr>
        <w:t>Programmazione Uff. del Dir. Centrale</w:t>
      </w:r>
      <w:r>
        <w:rPr>
          <w:rFonts w:ascii="Tahoma" w:hAnsi="Tahoma" w:cs="Tahoma"/>
          <w:sz w:val="20"/>
          <w:szCs w:val="20"/>
        </w:rPr>
        <w:t xml:space="preserve">, esplicativa della disciplina, giungeva anche ad affermare una esimente penale. Riportava tale </w:t>
      </w:r>
      <w:r>
        <w:rPr>
          <w:rFonts w:ascii="Tahoma" w:hAnsi="Tahoma" w:cs="Tahoma"/>
          <w:sz w:val="20"/>
          <w:szCs w:val="20"/>
        </w:rPr>
        <w:lastRenderedPageBreak/>
        <w:t xml:space="preserve">Circolare come </w:t>
      </w:r>
      <w:r w:rsidRPr="00CB5B64">
        <w:rPr>
          <w:rFonts w:ascii="Tahoma" w:hAnsi="Tahoma" w:cs="Tahoma"/>
          <w:b/>
          <w:bCs/>
          <w:i/>
          <w:iCs/>
          <w:sz w:val="20"/>
          <w:szCs w:val="20"/>
        </w:rPr>
        <w:t>«l’adeguamento non costituisca notizia di reato ai sensi dell’articolo 331 del codice di procedura penale, né ammissione di eventuale responsabilità penale da parte del contribuente o del suo rappresentante legale</w:t>
      </w:r>
      <w:r w:rsidRPr="00CB5B64">
        <w:rPr>
          <w:rFonts w:ascii="Tahoma" w:hAnsi="Tahoma" w:cs="Tahoma"/>
          <w:b/>
          <w:bCs/>
          <w:sz w:val="20"/>
          <w:szCs w:val="20"/>
        </w:rPr>
        <w:t xml:space="preserve">» </w:t>
      </w:r>
    </w:p>
    <w:p w14:paraId="7B9D7F16" w14:textId="41C818AB" w:rsidR="00CB5B64" w:rsidRDefault="00CB5B64" w:rsidP="00CB5B64">
      <w:pPr>
        <w:spacing w:after="200" w:line="360" w:lineRule="auto"/>
        <w:jc w:val="both"/>
        <w:rPr>
          <w:rFonts w:ascii="Tahoma" w:hAnsi="Tahoma" w:cs="Tahoma"/>
          <w:sz w:val="20"/>
          <w:szCs w:val="20"/>
        </w:rPr>
      </w:pPr>
      <w:r>
        <w:rPr>
          <w:rFonts w:ascii="Tahoma" w:hAnsi="Tahoma" w:cs="Tahoma"/>
          <w:sz w:val="20"/>
          <w:szCs w:val="20"/>
        </w:rPr>
        <w:t>I valori risultanti dalle variazioni sono riconosciuti ai fini civilistici e fiscali nel bilancio 2023.</w:t>
      </w:r>
      <w:r w:rsidR="00A816EE">
        <w:rPr>
          <w:rFonts w:ascii="Tahoma" w:hAnsi="Tahoma" w:cs="Tahoma"/>
          <w:sz w:val="20"/>
          <w:szCs w:val="20"/>
        </w:rPr>
        <w:t xml:space="preserve"> Quindi i diversi valori indicati non possono condurre a sanzioni tributarie o penali.</w:t>
      </w:r>
    </w:p>
    <w:p w14:paraId="5820ABC8" w14:textId="77777777" w:rsidR="00F7239E" w:rsidRDefault="00F7239E" w:rsidP="009208F3">
      <w:pPr>
        <w:pStyle w:val="Titolo2"/>
      </w:pPr>
    </w:p>
    <w:p w14:paraId="20B1870E" w14:textId="5D4B39DE" w:rsidR="00CB5B64" w:rsidRPr="00196E4D" w:rsidRDefault="00A8032F" w:rsidP="009208F3">
      <w:pPr>
        <w:pStyle w:val="Titolo2"/>
      </w:pPr>
      <w:bookmarkStart w:id="26" w:name="_Toc161309112"/>
      <w:r>
        <w:t>6</w:t>
      </w:r>
      <w:r w:rsidR="00CB5B64" w:rsidRPr="00196E4D">
        <w:t>.2 Criticità per sindaci e revisori</w:t>
      </w:r>
      <w:bookmarkEnd w:id="26"/>
    </w:p>
    <w:p w14:paraId="238F17CC" w14:textId="524DF477" w:rsidR="00CB5B64" w:rsidRDefault="00CB5B64" w:rsidP="00EF529C">
      <w:pPr>
        <w:spacing w:after="200" w:line="360" w:lineRule="auto"/>
        <w:jc w:val="both"/>
        <w:rPr>
          <w:rFonts w:ascii="Tahoma" w:hAnsi="Tahoma" w:cs="Tahoma"/>
          <w:sz w:val="20"/>
          <w:szCs w:val="20"/>
        </w:rPr>
      </w:pPr>
      <w:r>
        <w:rPr>
          <w:rFonts w:ascii="Tahoma" w:hAnsi="Tahoma" w:cs="Tahoma"/>
          <w:sz w:val="20"/>
          <w:szCs w:val="20"/>
        </w:rPr>
        <w:t xml:space="preserve">L’irrilevanza ai fini fiscali ed ai fini penali non è bastevole per spazzare </w:t>
      </w:r>
      <w:r w:rsidR="002C1637">
        <w:rPr>
          <w:rFonts w:ascii="Tahoma" w:hAnsi="Tahoma" w:cs="Tahoma"/>
          <w:sz w:val="20"/>
          <w:szCs w:val="20"/>
        </w:rPr>
        <w:t>le rilevantissime criticità che sorgono in conseguenza del riallineamento del magazzino.</w:t>
      </w:r>
    </w:p>
    <w:p w14:paraId="1E64AEC2" w14:textId="77777777" w:rsidR="002C1637" w:rsidRDefault="002C1637" w:rsidP="002C1637">
      <w:pPr>
        <w:spacing w:after="200" w:line="360" w:lineRule="auto"/>
        <w:jc w:val="both"/>
        <w:rPr>
          <w:rFonts w:ascii="Tahoma" w:hAnsi="Tahoma" w:cs="Tahoma"/>
          <w:sz w:val="20"/>
          <w:szCs w:val="20"/>
        </w:rPr>
      </w:pPr>
      <w:r>
        <w:rPr>
          <w:rFonts w:ascii="Tahoma" w:hAnsi="Tahoma" w:cs="Tahoma"/>
          <w:sz w:val="20"/>
          <w:szCs w:val="20"/>
        </w:rPr>
        <w:t>La correzione del magazzino all’inizio dell’esercizio in corso al 30 settembre 2023 (che di seguito in via pratica individueremo come l’1/1/2023) è infatti un evento da gestire in ossequio al Principio Contabile OIC 29, nella parte in cui tratta della correzione degli errori.</w:t>
      </w:r>
    </w:p>
    <w:p w14:paraId="56E7AFC0" w14:textId="31FEFE0B" w:rsidR="002C1637" w:rsidRDefault="002C1637" w:rsidP="002C1637">
      <w:pPr>
        <w:spacing w:after="200" w:line="360" w:lineRule="auto"/>
        <w:jc w:val="both"/>
        <w:rPr>
          <w:rFonts w:ascii="Tahoma" w:eastAsiaTheme="minorHAnsi" w:hAnsi="Tahoma" w:cs="Tahoma"/>
          <w:sz w:val="20"/>
          <w:szCs w:val="20"/>
          <w:lang w:eastAsia="en-US"/>
        </w:rPr>
      </w:pPr>
      <w:r w:rsidRPr="002C1637">
        <w:rPr>
          <w:rFonts w:ascii="Tahoma" w:hAnsi="Tahoma" w:cs="Tahoma"/>
          <w:sz w:val="20"/>
          <w:szCs w:val="20"/>
        </w:rPr>
        <w:t>Il punto 48 del Principio così testualmente recita: &lt;&lt;</w:t>
      </w:r>
      <w:r w:rsidRPr="00196E4D">
        <w:rPr>
          <w:rFonts w:ascii="Tahoma" w:eastAsiaTheme="minorHAnsi" w:hAnsi="Tahoma" w:cs="Tahoma"/>
          <w:i/>
          <w:iCs/>
          <w:sz w:val="20"/>
          <w:szCs w:val="20"/>
          <w:lang w:eastAsia="en-US"/>
        </w:rPr>
        <w:t>La correzione di errori rilevanti commessi in esercizi precedenti è contabilizzata sul saldo d’apertura del patrimonio netto dell’esercizio in cui si individua l’errore. Solitamente la rettifica viene rilevata negli utili portati a nuovo. Tuttavia, la rettifica può essere apportata a un’altra componente del patrimonio netto se più appropriato. La correzione di errori non rilevanti commessi in esercizi precedenti è contabilizzata nel conto economico dell’esercizio in cui si individua l’errore</w:t>
      </w:r>
      <w:r w:rsidRPr="00196E4D">
        <w:rPr>
          <w:rFonts w:ascii="Tahoma" w:eastAsiaTheme="minorHAnsi" w:hAnsi="Tahoma" w:cs="Tahoma"/>
          <w:sz w:val="20"/>
          <w:szCs w:val="20"/>
          <w:lang w:eastAsia="en-US"/>
        </w:rPr>
        <w:t>&gt;&gt;.</w:t>
      </w:r>
    </w:p>
    <w:p w14:paraId="3D5799C1" w14:textId="777F08CD" w:rsidR="002C1637" w:rsidRDefault="002C1637" w:rsidP="002C1637">
      <w:pPr>
        <w:spacing w:after="200" w:line="360" w:lineRule="auto"/>
        <w:jc w:val="both"/>
        <w:rPr>
          <w:rFonts w:ascii="Tahoma" w:eastAsiaTheme="minorHAnsi" w:hAnsi="Tahoma" w:cs="Tahoma"/>
          <w:sz w:val="20"/>
          <w:szCs w:val="20"/>
          <w:lang w:eastAsia="en-US"/>
        </w:rPr>
      </w:pPr>
      <w:r w:rsidRPr="002C1637">
        <w:rPr>
          <w:rFonts w:ascii="Tahoma" w:eastAsiaTheme="minorHAnsi" w:hAnsi="Tahoma" w:cs="Tahoma"/>
          <w:sz w:val="20"/>
          <w:szCs w:val="20"/>
          <w:lang w:eastAsia="en-US"/>
        </w:rPr>
        <w:t>Per cui, nel caso in cui l’ammontare della correzione operata sulle rimanenze all’1/1/2023 sia da considerare “</w:t>
      </w:r>
      <w:r w:rsidRPr="00196E4D">
        <w:rPr>
          <w:rFonts w:ascii="Tahoma" w:eastAsiaTheme="minorHAnsi" w:hAnsi="Tahoma" w:cs="Tahoma"/>
          <w:b/>
          <w:bCs/>
          <w:sz w:val="20"/>
          <w:szCs w:val="20"/>
          <w:lang w:eastAsia="en-US"/>
        </w:rPr>
        <w:t>rilevante</w:t>
      </w:r>
      <w:r w:rsidRPr="00196E4D">
        <w:rPr>
          <w:rFonts w:ascii="Tahoma" w:eastAsiaTheme="minorHAnsi" w:hAnsi="Tahoma" w:cs="Tahoma"/>
          <w:sz w:val="20"/>
          <w:szCs w:val="20"/>
          <w:lang w:eastAsia="en-US"/>
        </w:rPr>
        <w:t>”, la correzione impatterà</w:t>
      </w:r>
      <w:r>
        <w:rPr>
          <w:rFonts w:ascii="Tahoma" w:eastAsiaTheme="minorHAnsi" w:hAnsi="Tahoma" w:cs="Tahoma"/>
          <w:sz w:val="20"/>
          <w:szCs w:val="20"/>
          <w:lang w:eastAsia="en-US"/>
        </w:rPr>
        <w:t xml:space="preserve"> sul patrimonio netto all’1/1/2023.</w:t>
      </w:r>
    </w:p>
    <w:p w14:paraId="021DC662" w14:textId="441AEC4E" w:rsidR="002C1637" w:rsidRPr="00196E4D" w:rsidRDefault="002C1637" w:rsidP="002C1637">
      <w:pPr>
        <w:spacing w:after="200" w:line="360" w:lineRule="auto"/>
        <w:jc w:val="both"/>
        <w:rPr>
          <w:rFonts w:ascii="Tahoma" w:eastAsiaTheme="minorHAnsi" w:hAnsi="Tahoma" w:cs="Tahoma"/>
          <w:b/>
          <w:bCs/>
          <w:sz w:val="20"/>
          <w:szCs w:val="20"/>
          <w:lang w:eastAsia="en-US"/>
        </w:rPr>
      </w:pPr>
      <w:r w:rsidRPr="00196E4D">
        <w:rPr>
          <w:rFonts w:ascii="Tahoma" w:eastAsiaTheme="minorHAnsi" w:hAnsi="Tahoma" w:cs="Tahoma"/>
          <w:b/>
          <w:bCs/>
          <w:sz w:val="20"/>
          <w:szCs w:val="20"/>
          <w:lang w:eastAsia="en-US"/>
        </w:rPr>
        <w:t>Quando un errore è rilevante?</w:t>
      </w:r>
    </w:p>
    <w:p w14:paraId="39D3D294" w14:textId="77777777" w:rsidR="002C1637" w:rsidRPr="009208F3" w:rsidRDefault="002C1637" w:rsidP="009208F3">
      <w:pPr>
        <w:pStyle w:val="Paragrafoelenco"/>
        <w:numPr>
          <w:ilvl w:val="0"/>
          <w:numId w:val="26"/>
        </w:numPr>
        <w:spacing w:after="200" w:line="360" w:lineRule="auto"/>
        <w:jc w:val="both"/>
        <w:rPr>
          <w:rFonts w:ascii="Tahoma" w:hAnsi="Tahoma" w:cs="Tahoma"/>
          <w:sz w:val="20"/>
          <w:szCs w:val="20"/>
        </w:rPr>
      </w:pPr>
      <w:r w:rsidRPr="009208F3">
        <w:rPr>
          <w:rFonts w:ascii="Tahoma" w:hAnsi="Tahoma" w:cs="Tahoma"/>
          <w:b/>
          <w:bCs/>
          <w:sz w:val="20"/>
          <w:szCs w:val="20"/>
        </w:rPr>
        <w:t>errore rilevante</w:t>
      </w:r>
      <w:r w:rsidRPr="009208F3">
        <w:rPr>
          <w:rFonts w:ascii="Tahoma" w:hAnsi="Tahoma" w:cs="Tahoma"/>
          <w:sz w:val="20"/>
          <w:szCs w:val="20"/>
        </w:rPr>
        <w:t xml:space="preserve">: si tratta di errori che possono influenzare, individualmente o insieme ad altri errori, le decisioni dei destinatari del bilancio. </w:t>
      </w:r>
    </w:p>
    <w:p w14:paraId="1F0732FD" w14:textId="35F002BC" w:rsidR="009208F3" w:rsidRPr="009208F3" w:rsidRDefault="002C1637" w:rsidP="009208F3">
      <w:pPr>
        <w:pStyle w:val="Paragrafoelenco"/>
        <w:spacing w:after="200" w:line="360" w:lineRule="auto"/>
        <w:jc w:val="both"/>
        <w:rPr>
          <w:rFonts w:ascii="Tahoma" w:hAnsi="Tahoma" w:cs="Tahoma"/>
          <w:sz w:val="20"/>
          <w:szCs w:val="20"/>
        </w:rPr>
      </w:pPr>
      <w:r w:rsidRPr="009208F3">
        <w:rPr>
          <w:rFonts w:ascii="Tahoma" w:hAnsi="Tahoma" w:cs="Tahoma"/>
          <w:sz w:val="20"/>
          <w:szCs w:val="20"/>
        </w:rPr>
        <w:t>In questo caso l’importo della rettifica (in aumento o in diminuzione) apportata al valore delle esistenze iniziali si iscrive a rettifica del saldo di apertura del Patrimonio netto – in genere, modificando la voce «A.VI – Altre riserve» ovvero la voce «A.VIII – Utili (perdite</w:t>
      </w:r>
      <w:r w:rsidR="00A816EE">
        <w:rPr>
          <w:rFonts w:ascii="Tahoma" w:hAnsi="Tahoma" w:cs="Tahoma"/>
          <w:sz w:val="20"/>
          <w:szCs w:val="20"/>
        </w:rPr>
        <w:t>)</w:t>
      </w:r>
      <w:r w:rsidRPr="009208F3">
        <w:rPr>
          <w:rFonts w:ascii="Tahoma" w:hAnsi="Tahoma" w:cs="Tahoma"/>
          <w:sz w:val="20"/>
          <w:szCs w:val="20"/>
        </w:rPr>
        <w:t xml:space="preserve"> portati a nuovo» o altra voce più appropriata – del bilancio dell’esercizio 2023;</w:t>
      </w:r>
    </w:p>
    <w:p w14:paraId="52A5F138" w14:textId="4CD83F74" w:rsidR="002C1637" w:rsidRPr="009208F3" w:rsidRDefault="002C1637" w:rsidP="009208F3">
      <w:pPr>
        <w:pStyle w:val="Paragrafoelenco"/>
        <w:numPr>
          <w:ilvl w:val="0"/>
          <w:numId w:val="26"/>
        </w:numPr>
        <w:spacing w:after="200" w:line="360" w:lineRule="auto"/>
        <w:jc w:val="both"/>
        <w:rPr>
          <w:rFonts w:ascii="Tahoma" w:hAnsi="Tahoma" w:cs="Tahoma"/>
          <w:sz w:val="20"/>
          <w:szCs w:val="20"/>
        </w:rPr>
      </w:pPr>
      <w:r w:rsidRPr="009208F3">
        <w:rPr>
          <w:rFonts w:ascii="Tahoma" w:hAnsi="Tahoma" w:cs="Tahoma"/>
          <w:b/>
          <w:bCs/>
          <w:sz w:val="20"/>
          <w:szCs w:val="20"/>
        </w:rPr>
        <w:t>errore non rilevante</w:t>
      </w:r>
      <w:r w:rsidRPr="009208F3">
        <w:rPr>
          <w:rFonts w:ascii="Tahoma" w:hAnsi="Tahoma" w:cs="Tahoma"/>
          <w:sz w:val="20"/>
          <w:szCs w:val="20"/>
        </w:rPr>
        <w:t>: in tale ipotesi la correzione transita nel Conto economico dell’esercizio 2023 (voci B.14 nel caso di sopravvenienze passive per eliminare le rimanenze oppure A.5 nel caso di sopravvenienze attive per l’iscrizione di rimanenze precedentemente omesse)</w:t>
      </w:r>
    </w:p>
    <w:p w14:paraId="00349AA8" w14:textId="77777777" w:rsidR="002026C0" w:rsidRDefault="002026C0">
      <w:pPr>
        <w:spacing w:after="160" w:line="259" w:lineRule="auto"/>
        <w:rPr>
          <w:rFonts w:ascii="Tahoma" w:hAnsi="Tahoma" w:cs="Tahoma"/>
          <w:sz w:val="20"/>
          <w:szCs w:val="20"/>
        </w:rPr>
      </w:pPr>
      <w:r>
        <w:rPr>
          <w:rFonts w:ascii="Tahoma" w:hAnsi="Tahoma" w:cs="Tahoma"/>
          <w:sz w:val="20"/>
          <w:szCs w:val="20"/>
        </w:rPr>
        <w:br w:type="page"/>
      </w:r>
    </w:p>
    <w:p w14:paraId="34F1AF7D" w14:textId="5B8E6138" w:rsidR="002C1637" w:rsidRDefault="002C1637" w:rsidP="002C1637">
      <w:pPr>
        <w:spacing w:after="200" w:line="360" w:lineRule="auto"/>
        <w:jc w:val="both"/>
        <w:rPr>
          <w:rFonts w:ascii="Tahoma" w:hAnsi="Tahoma" w:cs="Tahoma"/>
          <w:sz w:val="20"/>
          <w:szCs w:val="20"/>
        </w:rPr>
      </w:pPr>
      <w:r>
        <w:rPr>
          <w:rFonts w:ascii="Tahoma" w:hAnsi="Tahoma" w:cs="Tahoma"/>
          <w:sz w:val="20"/>
          <w:szCs w:val="20"/>
        </w:rPr>
        <w:lastRenderedPageBreak/>
        <w:t>Contabilmente si avrà:</w:t>
      </w:r>
    </w:p>
    <w:p w14:paraId="76E4B3C1" w14:textId="6BB41C39" w:rsidR="002C1637" w:rsidRPr="00196E4D" w:rsidRDefault="00FA7387" w:rsidP="00196E4D">
      <w:pPr>
        <w:spacing w:after="200" w:line="360" w:lineRule="auto"/>
        <w:jc w:val="both"/>
        <w:rPr>
          <w:rFonts w:ascii="Tahoma" w:hAnsi="Tahoma" w:cs="Tahoma"/>
          <w:b/>
          <w:bCs/>
          <w:sz w:val="20"/>
          <w:szCs w:val="20"/>
        </w:rPr>
      </w:pPr>
      <w:r>
        <w:rPr>
          <w:rFonts w:ascii="Tahoma" w:hAnsi="Tahoma" w:cs="Tahoma"/>
          <w:b/>
          <w:bCs/>
          <w:sz w:val="20"/>
          <w:szCs w:val="20"/>
        </w:rPr>
        <w:t xml:space="preserve">I ipotesi: </w:t>
      </w:r>
      <w:r w:rsidRPr="00196E4D">
        <w:rPr>
          <w:rFonts w:ascii="Tahoma" w:hAnsi="Tahoma" w:cs="Tahoma"/>
          <w:b/>
          <w:bCs/>
          <w:sz w:val="20"/>
          <w:szCs w:val="20"/>
        </w:rPr>
        <w:t>ERRORE RILEVANTE</w:t>
      </w:r>
    </w:p>
    <w:p w14:paraId="3ED0DA97" w14:textId="77777777" w:rsidR="002C1637" w:rsidRPr="002C1637" w:rsidRDefault="002C1637" w:rsidP="002C1637">
      <w:pPr>
        <w:numPr>
          <w:ilvl w:val="0"/>
          <w:numId w:val="24"/>
        </w:numPr>
        <w:spacing w:after="200" w:line="360" w:lineRule="auto"/>
        <w:jc w:val="both"/>
        <w:rPr>
          <w:rFonts w:ascii="Tahoma" w:hAnsi="Tahoma" w:cs="Tahoma"/>
          <w:sz w:val="20"/>
          <w:szCs w:val="20"/>
        </w:rPr>
      </w:pPr>
      <w:r w:rsidRPr="002C1637">
        <w:rPr>
          <w:rFonts w:ascii="Tahoma" w:hAnsi="Tahoma" w:cs="Tahoma"/>
          <w:sz w:val="20"/>
          <w:szCs w:val="20"/>
        </w:rPr>
        <w:t>CASO DI ELIMINAZIONE DELLE RIMANENZE</w:t>
      </w:r>
    </w:p>
    <w:p w14:paraId="6D5EA6D9" w14:textId="1D34C7F1" w:rsidR="002C1637" w:rsidRDefault="002C1637" w:rsidP="002C1637">
      <w:pPr>
        <w:spacing w:after="200" w:line="360" w:lineRule="auto"/>
        <w:jc w:val="both"/>
        <w:rPr>
          <w:rFonts w:ascii="Tahoma" w:hAnsi="Tahoma" w:cs="Tahoma"/>
          <w:sz w:val="20"/>
          <w:szCs w:val="20"/>
        </w:rPr>
      </w:pPr>
      <w:r w:rsidRPr="00F7239E">
        <w:rPr>
          <w:rFonts w:ascii="Tahoma" w:hAnsi="Tahoma" w:cs="Tahoma"/>
          <w:sz w:val="20"/>
          <w:szCs w:val="20"/>
        </w:rPr>
        <w:t>1/1/2023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10D4FF15" w14:textId="77777777" w:rsidTr="003B5138">
        <w:tc>
          <w:tcPr>
            <w:tcW w:w="3686" w:type="dxa"/>
            <w:tcBorders>
              <w:top w:val="single" w:sz="4" w:space="0" w:color="auto"/>
            </w:tcBorders>
          </w:tcPr>
          <w:p w14:paraId="579EBF86" w14:textId="4D2D3DB2"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 xml:space="preserve">Rimanenze (Stato Patrimoniale)     </w:t>
            </w:r>
          </w:p>
        </w:tc>
        <w:tc>
          <w:tcPr>
            <w:tcW w:w="567" w:type="dxa"/>
          </w:tcPr>
          <w:p w14:paraId="00265977"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5A42DF47" w14:textId="6E62C07E"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Stato Patrimoniale iniziale</w:t>
            </w:r>
          </w:p>
        </w:tc>
        <w:tc>
          <w:tcPr>
            <w:tcW w:w="1559" w:type="dxa"/>
          </w:tcPr>
          <w:p w14:paraId="527C97B6" w14:textId="71481A3E"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100</w:t>
            </w:r>
          </w:p>
        </w:tc>
      </w:tr>
    </w:tbl>
    <w:p w14:paraId="5FDF4377" w14:textId="77777777" w:rsidR="006901CF" w:rsidRPr="00F7239E" w:rsidRDefault="006901CF" w:rsidP="006901CF">
      <w:pPr>
        <w:spacing w:after="200" w:line="360" w:lineRule="auto"/>
        <w:contextualSpacing/>
        <w:jc w:val="both"/>
        <w:rPr>
          <w:rFonts w:ascii="Tahoma" w:hAnsi="Tahoma" w:cs="Tahoma"/>
          <w:i/>
          <w:iCs/>
          <w:sz w:val="20"/>
          <w:szCs w:val="20"/>
        </w:rPr>
      </w:pPr>
      <w:r w:rsidRPr="00F7239E">
        <w:rPr>
          <w:rFonts w:ascii="Tahoma" w:hAnsi="Tahoma" w:cs="Tahoma"/>
          <w:sz w:val="20"/>
          <w:szCs w:val="20"/>
        </w:rPr>
        <w:t>(</w:t>
      </w:r>
      <w:r w:rsidRPr="00F7239E">
        <w:rPr>
          <w:rFonts w:ascii="Tahoma" w:hAnsi="Tahoma" w:cs="Tahoma"/>
          <w:i/>
          <w:iCs/>
          <w:sz w:val="20"/>
          <w:szCs w:val="20"/>
        </w:rPr>
        <w:t>causale: apertura conti)</w:t>
      </w:r>
    </w:p>
    <w:p w14:paraId="57B86FA4" w14:textId="77777777" w:rsidR="006901CF" w:rsidRPr="00F7239E" w:rsidRDefault="006901CF" w:rsidP="006901CF">
      <w:pPr>
        <w:spacing w:after="200" w:line="360" w:lineRule="auto"/>
        <w:contextualSpacing/>
        <w:jc w:val="both"/>
        <w:rPr>
          <w:rFonts w:ascii="Tahoma" w:hAnsi="Tahoma" w:cs="Tahoma"/>
          <w:i/>
          <w:iCs/>
          <w:sz w:val="20"/>
          <w:szCs w:val="20"/>
        </w:rPr>
      </w:pP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6CFE1EDA" w14:textId="77777777" w:rsidTr="003B5138">
        <w:tc>
          <w:tcPr>
            <w:tcW w:w="3686" w:type="dxa"/>
            <w:tcBorders>
              <w:top w:val="single" w:sz="4" w:space="0" w:color="auto"/>
            </w:tcBorders>
          </w:tcPr>
          <w:p w14:paraId="0140383A" w14:textId="08F9B41F"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567" w:type="dxa"/>
          </w:tcPr>
          <w:p w14:paraId="17B9C58A"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4CDC0903" w14:textId="0ADE27DE"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(Stato patrimoniale )</w:t>
            </w:r>
          </w:p>
        </w:tc>
        <w:tc>
          <w:tcPr>
            <w:tcW w:w="1559" w:type="dxa"/>
          </w:tcPr>
          <w:p w14:paraId="3052A12E" w14:textId="07AC1FAE"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100</w:t>
            </w:r>
          </w:p>
        </w:tc>
      </w:tr>
    </w:tbl>
    <w:p w14:paraId="1D3EF7B4" w14:textId="77777777" w:rsidR="006901CF" w:rsidRPr="00F7239E" w:rsidRDefault="006901CF" w:rsidP="006901CF">
      <w:pPr>
        <w:spacing w:after="200" w:line="360" w:lineRule="auto"/>
        <w:contextualSpacing/>
        <w:jc w:val="both"/>
        <w:rPr>
          <w:rFonts w:ascii="Tahoma" w:hAnsi="Tahoma" w:cs="Tahoma"/>
          <w:i/>
          <w:iCs/>
          <w:sz w:val="20"/>
          <w:szCs w:val="20"/>
        </w:rPr>
      </w:pPr>
      <w:r w:rsidRPr="00F7239E">
        <w:rPr>
          <w:rFonts w:ascii="Tahoma" w:hAnsi="Tahoma" w:cs="Tahoma"/>
          <w:sz w:val="20"/>
          <w:szCs w:val="20"/>
        </w:rPr>
        <w:t>(</w:t>
      </w:r>
      <w:r w:rsidRPr="00F7239E">
        <w:rPr>
          <w:rFonts w:ascii="Tahoma" w:hAnsi="Tahoma" w:cs="Tahoma"/>
          <w:i/>
          <w:iCs/>
          <w:sz w:val="20"/>
          <w:szCs w:val="20"/>
        </w:rPr>
        <w:t>causale: giroconto rimanenze iniziali)</w:t>
      </w:r>
    </w:p>
    <w:p w14:paraId="048E84C9" w14:textId="77777777" w:rsidR="00FA7387" w:rsidRPr="00F7239E" w:rsidRDefault="00FA7387" w:rsidP="00F7239E">
      <w:pPr>
        <w:spacing w:after="200" w:line="360" w:lineRule="auto"/>
        <w:jc w:val="both"/>
        <w:rPr>
          <w:rFonts w:ascii="Tahoma" w:hAnsi="Tahoma" w:cs="Tahoma"/>
          <w:b/>
          <w:bCs/>
          <w:sz w:val="20"/>
          <w:szCs w:val="20"/>
        </w:rPr>
      </w:pPr>
    </w:p>
    <w:p w14:paraId="1D673B43" w14:textId="6652763A" w:rsidR="002C1637" w:rsidRDefault="002C1637" w:rsidP="00F7239E">
      <w:pPr>
        <w:spacing w:after="200" w:line="360" w:lineRule="auto"/>
        <w:jc w:val="both"/>
        <w:rPr>
          <w:rFonts w:ascii="Tahoma" w:hAnsi="Tahoma" w:cs="Tahoma"/>
          <w:b/>
          <w:bCs/>
          <w:sz w:val="20"/>
          <w:szCs w:val="20"/>
        </w:rPr>
      </w:pPr>
      <w:r w:rsidRPr="00F7239E">
        <w:rPr>
          <w:rFonts w:ascii="Tahoma" w:hAnsi="Tahoma" w:cs="Tahoma"/>
          <w:b/>
          <w:bCs/>
          <w:sz w:val="20"/>
          <w:szCs w:val="20"/>
        </w:rPr>
        <w:t>Eliminazione: 20</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1E7EBE09" w14:textId="77777777" w:rsidTr="003B5138">
        <w:tc>
          <w:tcPr>
            <w:tcW w:w="3686" w:type="dxa"/>
            <w:tcBorders>
              <w:top w:val="single" w:sz="4" w:space="0" w:color="auto"/>
            </w:tcBorders>
          </w:tcPr>
          <w:p w14:paraId="1F0D6C9F" w14:textId="2507E646"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 xml:space="preserve">Utili portati a nuovo A.VII </w:t>
            </w:r>
          </w:p>
        </w:tc>
        <w:tc>
          <w:tcPr>
            <w:tcW w:w="567" w:type="dxa"/>
          </w:tcPr>
          <w:p w14:paraId="610CCE41"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435170D3" w14:textId="34C5832A"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1559" w:type="dxa"/>
          </w:tcPr>
          <w:p w14:paraId="266226FF" w14:textId="4650BCA0"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20</w:t>
            </w:r>
          </w:p>
        </w:tc>
      </w:tr>
    </w:tbl>
    <w:p w14:paraId="7AE34F0C" w14:textId="77777777" w:rsidR="006901CF" w:rsidRPr="00F7239E" w:rsidRDefault="006901CF" w:rsidP="006901CF">
      <w:pPr>
        <w:spacing w:after="200" w:line="360" w:lineRule="auto"/>
        <w:contextualSpacing/>
        <w:jc w:val="both"/>
        <w:rPr>
          <w:rFonts w:ascii="Tahoma" w:hAnsi="Tahoma" w:cs="Tahoma"/>
          <w:i/>
          <w:iCs/>
          <w:sz w:val="20"/>
          <w:szCs w:val="20"/>
        </w:rPr>
      </w:pPr>
      <w:r w:rsidRPr="00F7239E">
        <w:rPr>
          <w:rFonts w:ascii="Tahoma" w:hAnsi="Tahoma" w:cs="Tahoma"/>
          <w:i/>
          <w:iCs/>
          <w:sz w:val="20"/>
          <w:szCs w:val="20"/>
        </w:rPr>
        <w:t>(causale: eliminazione rimanenze iniziali)</w:t>
      </w:r>
    </w:p>
    <w:p w14:paraId="456314DA" w14:textId="77777777" w:rsidR="00FA7387" w:rsidRPr="00F7239E" w:rsidRDefault="00FA7387" w:rsidP="00F7239E">
      <w:pPr>
        <w:spacing w:after="200" w:line="360" w:lineRule="auto"/>
        <w:contextualSpacing/>
        <w:jc w:val="both"/>
        <w:rPr>
          <w:rFonts w:ascii="Tahoma" w:hAnsi="Tahoma" w:cs="Tahoma"/>
          <w:sz w:val="20"/>
          <w:szCs w:val="20"/>
        </w:rPr>
      </w:pPr>
    </w:p>
    <w:p w14:paraId="7A3BFEE8" w14:textId="77777777" w:rsidR="00FA7387" w:rsidRPr="00F7239E" w:rsidRDefault="00FA7387" w:rsidP="00F7239E">
      <w:pPr>
        <w:numPr>
          <w:ilvl w:val="0"/>
          <w:numId w:val="25"/>
        </w:numPr>
        <w:spacing w:after="200" w:line="360" w:lineRule="auto"/>
        <w:jc w:val="both"/>
        <w:rPr>
          <w:rFonts w:ascii="Tahoma" w:hAnsi="Tahoma" w:cs="Tahoma"/>
          <w:sz w:val="20"/>
          <w:szCs w:val="20"/>
        </w:rPr>
      </w:pPr>
      <w:r w:rsidRPr="00F7239E">
        <w:rPr>
          <w:rFonts w:ascii="Tahoma" w:hAnsi="Tahoma" w:cs="Tahoma"/>
          <w:sz w:val="20"/>
          <w:szCs w:val="20"/>
        </w:rPr>
        <w:t>CASO DI INCREMENTO DELLE RIMANENZE</w:t>
      </w:r>
    </w:p>
    <w:p w14:paraId="4A9EB25D" w14:textId="77777777" w:rsidR="00FA7387" w:rsidRDefault="00FA7387" w:rsidP="00F7239E">
      <w:pPr>
        <w:spacing w:after="200" w:line="360" w:lineRule="auto"/>
        <w:jc w:val="both"/>
        <w:rPr>
          <w:rFonts w:ascii="Tahoma" w:hAnsi="Tahoma" w:cs="Tahoma"/>
          <w:sz w:val="20"/>
          <w:szCs w:val="20"/>
        </w:rPr>
      </w:pPr>
      <w:r w:rsidRPr="00F7239E">
        <w:rPr>
          <w:rFonts w:ascii="Tahoma" w:hAnsi="Tahoma" w:cs="Tahoma"/>
          <w:sz w:val="20"/>
          <w:szCs w:val="20"/>
        </w:rPr>
        <w:t>1/1/2023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4F4F3BA0" w14:textId="77777777" w:rsidTr="003B5138">
        <w:tc>
          <w:tcPr>
            <w:tcW w:w="3686" w:type="dxa"/>
            <w:tcBorders>
              <w:top w:val="single" w:sz="4" w:space="0" w:color="auto"/>
            </w:tcBorders>
          </w:tcPr>
          <w:p w14:paraId="23B46536" w14:textId="0E8A8FD8"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 xml:space="preserve">Rimanenze (Stato </w:t>
            </w:r>
            <w:r w:rsidR="00A816EE" w:rsidRPr="00F7239E">
              <w:rPr>
                <w:rFonts w:ascii="Tahoma" w:hAnsi="Tahoma" w:cs="Tahoma"/>
                <w:sz w:val="20"/>
                <w:szCs w:val="20"/>
              </w:rPr>
              <w:t>Patrimoniale</w:t>
            </w:r>
            <w:r w:rsidRPr="00F7239E">
              <w:rPr>
                <w:rFonts w:ascii="Tahoma" w:hAnsi="Tahoma" w:cs="Tahoma"/>
                <w:sz w:val="20"/>
                <w:szCs w:val="20"/>
              </w:rPr>
              <w:t xml:space="preserve">)     </w:t>
            </w:r>
          </w:p>
        </w:tc>
        <w:tc>
          <w:tcPr>
            <w:tcW w:w="567" w:type="dxa"/>
          </w:tcPr>
          <w:p w14:paraId="5A9BA0E2"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1F77D6E5" w14:textId="21A31617"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Stato Patrimoniale iniziale</w:t>
            </w:r>
          </w:p>
        </w:tc>
        <w:tc>
          <w:tcPr>
            <w:tcW w:w="1559" w:type="dxa"/>
          </w:tcPr>
          <w:p w14:paraId="537BCC08" w14:textId="08934481"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100</w:t>
            </w:r>
          </w:p>
        </w:tc>
      </w:tr>
    </w:tbl>
    <w:p w14:paraId="53888DD8" w14:textId="77777777" w:rsidR="006901CF" w:rsidRPr="00F7239E" w:rsidRDefault="006901CF" w:rsidP="006901CF">
      <w:pPr>
        <w:spacing w:after="200" w:line="360" w:lineRule="auto"/>
        <w:contextualSpacing/>
        <w:jc w:val="both"/>
        <w:rPr>
          <w:rFonts w:ascii="Tahoma" w:hAnsi="Tahoma" w:cs="Tahoma"/>
          <w:i/>
          <w:iCs/>
          <w:sz w:val="20"/>
          <w:szCs w:val="20"/>
        </w:rPr>
      </w:pPr>
      <w:r w:rsidRPr="00F7239E">
        <w:rPr>
          <w:rFonts w:ascii="Tahoma" w:hAnsi="Tahoma" w:cs="Tahoma"/>
          <w:sz w:val="20"/>
          <w:szCs w:val="20"/>
        </w:rPr>
        <w:t>(</w:t>
      </w:r>
      <w:r w:rsidRPr="00F7239E">
        <w:rPr>
          <w:rFonts w:ascii="Tahoma" w:hAnsi="Tahoma" w:cs="Tahoma"/>
          <w:i/>
          <w:iCs/>
          <w:sz w:val="20"/>
          <w:szCs w:val="20"/>
        </w:rPr>
        <w:t>causale: apertura conti)</w:t>
      </w:r>
    </w:p>
    <w:p w14:paraId="7CC49E2A" w14:textId="77777777" w:rsidR="00FA7387" w:rsidRDefault="00FA7387" w:rsidP="00F7239E">
      <w:pPr>
        <w:spacing w:after="200" w:line="360" w:lineRule="auto"/>
        <w:jc w:val="both"/>
        <w:rPr>
          <w:rFonts w:ascii="Tahoma" w:hAnsi="Tahoma" w:cs="Tahoma"/>
          <w:sz w:val="20"/>
          <w:szCs w:val="20"/>
        </w:rPr>
      </w:pP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374454E6" w14:textId="77777777" w:rsidTr="003B5138">
        <w:tc>
          <w:tcPr>
            <w:tcW w:w="3686" w:type="dxa"/>
            <w:tcBorders>
              <w:top w:val="single" w:sz="4" w:space="0" w:color="auto"/>
            </w:tcBorders>
          </w:tcPr>
          <w:p w14:paraId="0DF6B340" w14:textId="77777777"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567" w:type="dxa"/>
          </w:tcPr>
          <w:p w14:paraId="4C4763B5"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9C8FF34" w14:textId="04C93A48"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(Stato patrimoniale ) 100</w:t>
            </w:r>
          </w:p>
        </w:tc>
        <w:tc>
          <w:tcPr>
            <w:tcW w:w="1559" w:type="dxa"/>
          </w:tcPr>
          <w:p w14:paraId="5EF34FAC" w14:textId="36CD8345"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100</w:t>
            </w:r>
          </w:p>
        </w:tc>
      </w:tr>
    </w:tbl>
    <w:p w14:paraId="1792EF2B" w14:textId="77777777" w:rsidR="006901CF" w:rsidRPr="00F7239E" w:rsidRDefault="006901CF" w:rsidP="006901CF">
      <w:pPr>
        <w:spacing w:after="200" w:line="360" w:lineRule="auto"/>
        <w:contextualSpacing/>
        <w:jc w:val="both"/>
        <w:rPr>
          <w:rFonts w:ascii="Tahoma" w:hAnsi="Tahoma" w:cs="Tahoma"/>
          <w:i/>
          <w:iCs/>
          <w:sz w:val="20"/>
          <w:szCs w:val="20"/>
        </w:rPr>
      </w:pPr>
      <w:r w:rsidRPr="00F7239E">
        <w:rPr>
          <w:rFonts w:ascii="Tahoma" w:hAnsi="Tahoma" w:cs="Tahoma"/>
          <w:sz w:val="20"/>
          <w:szCs w:val="20"/>
        </w:rPr>
        <w:t>(</w:t>
      </w:r>
      <w:r w:rsidRPr="00F7239E">
        <w:rPr>
          <w:rFonts w:ascii="Tahoma" w:hAnsi="Tahoma" w:cs="Tahoma"/>
          <w:i/>
          <w:iCs/>
          <w:sz w:val="20"/>
          <w:szCs w:val="20"/>
        </w:rPr>
        <w:t>causale: giroconto rimanenze iniziali)</w:t>
      </w:r>
    </w:p>
    <w:p w14:paraId="6FFC8AFA" w14:textId="77777777" w:rsidR="00FA7387" w:rsidRPr="00F7239E" w:rsidRDefault="00FA7387" w:rsidP="00F7239E">
      <w:pPr>
        <w:spacing w:after="200" w:line="360" w:lineRule="auto"/>
        <w:jc w:val="both"/>
        <w:rPr>
          <w:rFonts w:ascii="Tahoma" w:hAnsi="Tahoma" w:cs="Tahoma"/>
          <w:b/>
          <w:bCs/>
          <w:sz w:val="20"/>
          <w:szCs w:val="20"/>
        </w:rPr>
      </w:pPr>
    </w:p>
    <w:p w14:paraId="296C2D57" w14:textId="77777777" w:rsidR="00FA7387" w:rsidRDefault="00FA7387" w:rsidP="00F7239E">
      <w:pPr>
        <w:spacing w:after="200" w:line="360" w:lineRule="auto"/>
        <w:jc w:val="both"/>
        <w:rPr>
          <w:rFonts w:ascii="Tahoma" w:hAnsi="Tahoma" w:cs="Tahoma"/>
          <w:b/>
          <w:bCs/>
          <w:sz w:val="20"/>
          <w:szCs w:val="20"/>
        </w:rPr>
      </w:pPr>
      <w:r w:rsidRPr="00F7239E">
        <w:rPr>
          <w:rFonts w:ascii="Tahoma" w:hAnsi="Tahoma" w:cs="Tahoma"/>
          <w:b/>
          <w:bCs/>
          <w:sz w:val="20"/>
          <w:szCs w:val="20"/>
        </w:rPr>
        <w:t>Incremento delle rimanenze: 20</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7D534D4B" w14:textId="77777777" w:rsidTr="003B5138">
        <w:tc>
          <w:tcPr>
            <w:tcW w:w="3686" w:type="dxa"/>
            <w:tcBorders>
              <w:top w:val="single" w:sz="4" w:space="0" w:color="auto"/>
            </w:tcBorders>
          </w:tcPr>
          <w:p w14:paraId="5FC3FF81" w14:textId="77777777"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567" w:type="dxa"/>
          </w:tcPr>
          <w:p w14:paraId="7D2DE6D4"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4FD5397" w14:textId="3199EB6E"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Utili portati a nuovo A.VII</w:t>
            </w:r>
          </w:p>
        </w:tc>
        <w:tc>
          <w:tcPr>
            <w:tcW w:w="1559" w:type="dxa"/>
          </w:tcPr>
          <w:p w14:paraId="657CBC5E" w14:textId="35DBAFE6"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20</w:t>
            </w:r>
          </w:p>
        </w:tc>
      </w:tr>
    </w:tbl>
    <w:p w14:paraId="7FC92CB4" w14:textId="77777777" w:rsidR="006901CF" w:rsidRPr="00F7239E" w:rsidRDefault="006901CF" w:rsidP="006901CF">
      <w:pPr>
        <w:spacing w:after="200" w:line="360" w:lineRule="auto"/>
        <w:contextualSpacing/>
        <w:jc w:val="both"/>
        <w:rPr>
          <w:rFonts w:ascii="Tahoma" w:hAnsi="Tahoma" w:cs="Tahoma"/>
          <w:i/>
          <w:iCs/>
          <w:sz w:val="20"/>
          <w:szCs w:val="20"/>
        </w:rPr>
      </w:pPr>
      <w:r w:rsidRPr="00F7239E">
        <w:rPr>
          <w:rFonts w:ascii="Tahoma" w:hAnsi="Tahoma" w:cs="Tahoma"/>
          <w:i/>
          <w:iCs/>
          <w:sz w:val="20"/>
          <w:szCs w:val="20"/>
        </w:rPr>
        <w:t>(causale: incremento rimanenze iniziali)</w:t>
      </w:r>
    </w:p>
    <w:p w14:paraId="23D9A30C" w14:textId="77777777" w:rsidR="00C44095" w:rsidRDefault="00C44095">
      <w:pPr>
        <w:spacing w:after="160" w:line="259" w:lineRule="auto"/>
        <w:rPr>
          <w:rFonts w:ascii="Tahoma" w:hAnsi="Tahoma" w:cs="Tahoma"/>
          <w:b/>
          <w:bCs/>
          <w:sz w:val="20"/>
          <w:szCs w:val="20"/>
        </w:rPr>
      </w:pPr>
      <w:r>
        <w:rPr>
          <w:rFonts w:ascii="Tahoma" w:hAnsi="Tahoma" w:cs="Tahoma"/>
          <w:b/>
          <w:bCs/>
          <w:sz w:val="20"/>
          <w:szCs w:val="20"/>
        </w:rPr>
        <w:br w:type="page"/>
      </w:r>
    </w:p>
    <w:p w14:paraId="5646F70E" w14:textId="5438D895" w:rsidR="00FA7387" w:rsidRPr="00F7239E" w:rsidRDefault="00FA7387" w:rsidP="00F7239E">
      <w:pPr>
        <w:spacing w:after="200" w:line="360" w:lineRule="auto"/>
        <w:jc w:val="both"/>
        <w:rPr>
          <w:rFonts w:ascii="Tahoma" w:hAnsi="Tahoma" w:cs="Tahoma"/>
          <w:b/>
          <w:bCs/>
          <w:sz w:val="20"/>
          <w:szCs w:val="20"/>
        </w:rPr>
      </w:pPr>
      <w:r w:rsidRPr="00F7239E">
        <w:rPr>
          <w:rFonts w:ascii="Tahoma" w:hAnsi="Tahoma" w:cs="Tahoma"/>
          <w:b/>
          <w:bCs/>
          <w:sz w:val="20"/>
          <w:szCs w:val="20"/>
        </w:rPr>
        <w:lastRenderedPageBreak/>
        <w:t>II ipotesi: ERRORE NON RILEVANTE</w:t>
      </w:r>
    </w:p>
    <w:p w14:paraId="7B80B57D" w14:textId="77777777" w:rsidR="002C1637" w:rsidRPr="00F7239E" w:rsidRDefault="002C1637" w:rsidP="00F7239E">
      <w:pPr>
        <w:numPr>
          <w:ilvl w:val="0"/>
          <w:numId w:val="24"/>
        </w:numPr>
        <w:spacing w:after="200" w:line="360" w:lineRule="auto"/>
        <w:jc w:val="both"/>
        <w:rPr>
          <w:rFonts w:ascii="Tahoma" w:hAnsi="Tahoma" w:cs="Tahoma"/>
          <w:sz w:val="20"/>
          <w:szCs w:val="20"/>
        </w:rPr>
      </w:pPr>
      <w:r w:rsidRPr="00F7239E">
        <w:rPr>
          <w:rFonts w:ascii="Tahoma" w:hAnsi="Tahoma" w:cs="Tahoma"/>
          <w:sz w:val="20"/>
          <w:szCs w:val="20"/>
        </w:rPr>
        <w:t>CASO DI ELIMINAZIONE DELLE RIMANENZE</w:t>
      </w:r>
    </w:p>
    <w:p w14:paraId="13BF81B6" w14:textId="77777777" w:rsidR="00FA7387" w:rsidRDefault="00FA7387" w:rsidP="00F7239E">
      <w:pPr>
        <w:spacing w:after="200" w:line="360" w:lineRule="auto"/>
        <w:jc w:val="both"/>
        <w:rPr>
          <w:rFonts w:ascii="Tahoma" w:hAnsi="Tahoma" w:cs="Tahoma"/>
          <w:sz w:val="20"/>
          <w:szCs w:val="20"/>
        </w:rPr>
      </w:pPr>
      <w:r w:rsidRPr="00F7239E">
        <w:rPr>
          <w:rFonts w:ascii="Tahoma" w:hAnsi="Tahoma" w:cs="Tahoma"/>
          <w:sz w:val="20"/>
          <w:szCs w:val="20"/>
        </w:rPr>
        <w:t>1/1/2023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6B2063D0" w14:textId="77777777" w:rsidTr="003B5138">
        <w:tc>
          <w:tcPr>
            <w:tcW w:w="3686" w:type="dxa"/>
            <w:tcBorders>
              <w:top w:val="single" w:sz="4" w:space="0" w:color="auto"/>
            </w:tcBorders>
          </w:tcPr>
          <w:p w14:paraId="569CF40C" w14:textId="5B3DE1DC"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 xml:space="preserve">Rimanenze (Stato Patrimoniale)     </w:t>
            </w:r>
          </w:p>
        </w:tc>
        <w:tc>
          <w:tcPr>
            <w:tcW w:w="567" w:type="dxa"/>
          </w:tcPr>
          <w:p w14:paraId="5E4B5AE8"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0BEB5B5D" w14:textId="0C5B0A5A"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Stato Patrimoniale iniziale</w:t>
            </w:r>
          </w:p>
        </w:tc>
        <w:tc>
          <w:tcPr>
            <w:tcW w:w="1559" w:type="dxa"/>
          </w:tcPr>
          <w:p w14:paraId="5F1CB388" w14:textId="1BA8E881"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w:t>
            </w:r>
            <w:r w:rsidR="00C44095">
              <w:rPr>
                <w:rFonts w:ascii="Tahoma" w:hAnsi="Tahoma" w:cs="Tahoma"/>
                <w:sz w:val="20"/>
                <w:szCs w:val="20"/>
              </w:rPr>
              <w:t>0</w:t>
            </w:r>
          </w:p>
        </w:tc>
      </w:tr>
    </w:tbl>
    <w:p w14:paraId="65C512E2" w14:textId="77777777" w:rsidR="00C44095" w:rsidRPr="00F7239E" w:rsidRDefault="00C44095" w:rsidP="00C44095">
      <w:pPr>
        <w:spacing w:after="200" w:line="360" w:lineRule="auto"/>
        <w:contextualSpacing/>
        <w:jc w:val="both"/>
        <w:rPr>
          <w:rFonts w:ascii="Tahoma" w:hAnsi="Tahoma" w:cs="Tahoma"/>
          <w:i/>
          <w:iCs/>
          <w:sz w:val="20"/>
          <w:szCs w:val="20"/>
        </w:rPr>
      </w:pPr>
      <w:r w:rsidRPr="00F7239E">
        <w:rPr>
          <w:rFonts w:ascii="Tahoma" w:hAnsi="Tahoma" w:cs="Tahoma"/>
          <w:sz w:val="20"/>
          <w:szCs w:val="20"/>
        </w:rPr>
        <w:t>(</w:t>
      </w:r>
      <w:r w:rsidRPr="00F7239E">
        <w:rPr>
          <w:rFonts w:ascii="Tahoma" w:hAnsi="Tahoma" w:cs="Tahoma"/>
          <w:i/>
          <w:iCs/>
          <w:sz w:val="20"/>
          <w:szCs w:val="20"/>
        </w:rPr>
        <w:t>causale: apertura conti)</w:t>
      </w:r>
    </w:p>
    <w:p w14:paraId="2AF1BB2B" w14:textId="77777777" w:rsidR="00FA7387" w:rsidRDefault="00FA7387" w:rsidP="00F7239E">
      <w:pPr>
        <w:spacing w:after="200" w:line="360" w:lineRule="auto"/>
        <w:jc w:val="both"/>
        <w:rPr>
          <w:rFonts w:ascii="Tahoma" w:hAnsi="Tahoma" w:cs="Tahoma"/>
          <w:sz w:val="20"/>
          <w:szCs w:val="20"/>
        </w:rPr>
      </w:pP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4A288BFC" w14:textId="77777777" w:rsidTr="003B5138">
        <w:tc>
          <w:tcPr>
            <w:tcW w:w="3686" w:type="dxa"/>
            <w:tcBorders>
              <w:top w:val="single" w:sz="4" w:space="0" w:color="auto"/>
            </w:tcBorders>
          </w:tcPr>
          <w:p w14:paraId="55B77639" w14:textId="77777777"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567" w:type="dxa"/>
          </w:tcPr>
          <w:p w14:paraId="7A3F43E4"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81C8434" w14:textId="1F1719D6"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(Stato patrimoniale)</w:t>
            </w:r>
          </w:p>
        </w:tc>
        <w:tc>
          <w:tcPr>
            <w:tcW w:w="1559" w:type="dxa"/>
          </w:tcPr>
          <w:p w14:paraId="29089AD4" w14:textId="5446DEB6"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w:t>
            </w:r>
            <w:r w:rsidR="00C44095">
              <w:rPr>
                <w:rFonts w:ascii="Tahoma" w:hAnsi="Tahoma" w:cs="Tahoma"/>
                <w:sz w:val="20"/>
                <w:szCs w:val="20"/>
              </w:rPr>
              <w:t>0</w:t>
            </w:r>
          </w:p>
        </w:tc>
      </w:tr>
    </w:tbl>
    <w:p w14:paraId="3FF0B9DC" w14:textId="77777777" w:rsidR="00C44095" w:rsidRPr="00F7239E" w:rsidRDefault="00C44095" w:rsidP="00C44095">
      <w:pPr>
        <w:spacing w:after="200" w:line="360" w:lineRule="auto"/>
        <w:contextualSpacing/>
        <w:jc w:val="both"/>
        <w:rPr>
          <w:rFonts w:ascii="Tahoma" w:hAnsi="Tahoma" w:cs="Tahoma"/>
          <w:i/>
          <w:iCs/>
          <w:sz w:val="20"/>
          <w:szCs w:val="20"/>
        </w:rPr>
      </w:pPr>
      <w:r w:rsidRPr="00F7239E">
        <w:rPr>
          <w:rFonts w:ascii="Tahoma" w:hAnsi="Tahoma" w:cs="Tahoma"/>
          <w:sz w:val="20"/>
          <w:szCs w:val="20"/>
        </w:rPr>
        <w:t>(</w:t>
      </w:r>
      <w:r w:rsidRPr="00F7239E">
        <w:rPr>
          <w:rFonts w:ascii="Tahoma" w:hAnsi="Tahoma" w:cs="Tahoma"/>
          <w:i/>
          <w:iCs/>
          <w:sz w:val="20"/>
          <w:szCs w:val="20"/>
        </w:rPr>
        <w:t>causale: giroconto rimanenze iniziali)</w:t>
      </w:r>
    </w:p>
    <w:p w14:paraId="74E15456" w14:textId="77777777" w:rsidR="00FA7387" w:rsidRPr="00F7239E" w:rsidRDefault="00FA7387" w:rsidP="00F7239E">
      <w:pPr>
        <w:spacing w:after="200" w:line="360" w:lineRule="auto"/>
        <w:jc w:val="both"/>
        <w:rPr>
          <w:rFonts w:ascii="Tahoma" w:hAnsi="Tahoma" w:cs="Tahoma"/>
          <w:b/>
          <w:bCs/>
          <w:sz w:val="20"/>
          <w:szCs w:val="20"/>
        </w:rPr>
      </w:pPr>
    </w:p>
    <w:p w14:paraId="03EE5258" w14:textId="3FCDDEC8" w:rsidR="00FA7387" w:rsidRDefault="00FA7387" w:rsidP="00F7239E">
      <w:pPr>
        <w:spacing w:after="200" w:line="360" w:lineRule="auto"/>
        <w:jc w:val="both"/>
        <w:rPr>
          <w:rFonts w:ascii="Tahoma" w:hAnsi="Tahoma" w:cs="Tahoma"/>
          <w:b/>
          <w:bCs/>
          <w:sz w:val="20"/>
          <w:szCs w:val="20"/>
        </w:rPr>
      </w:pPr>
      <w:r w:rsidRPr="00F7239E">
        <w:rPr>
          <w:rFonts w:ascii="Tahoma" w:hAnsi="Tahoma" w:cs="Tahoma"/>
          <w:b/>
          <w:bCs/>
          <w:sz w:val="20"/>
          <w:szCs w:val="20"/>
        </w:rPr>
        <w:t>Eliminazione: 10</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161273BD" w14:textId="77777777" w:rsidTr="003B5138">
        <w:tc>
          <w:tcPr>
            <w:tcW w:w="3686" w:type="dxa"/>
            <w:tcBorders>
              <w:top w:val="single" w:sz="4" w:space="0" w:color="auto"/>
            </w:tcBorders>
          </w:tcPr>
          <w:p w14:paraId="5EB559C5" w14:textId="28CC3607"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Sopravvenienze passive (B.14)</w:t>
            </w:r>
          </w:p>
        </w:tc>
        <w:tc>
          <w:tcPr>
            <w:tcW w:w="567" w:type="dxa"/>
          </w:tcPr>
          <w:p w14:paraId="6E41C6FC"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6C7BAB61" w14:textId="7C3AF409"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1559" w:type="dxa"/>
          </w:tcPr>
          <w:p w14:paraId="5F6A8F90" w14:textId="77777777"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w:t>
            </w:r>
          </w:p>
        </w:tc>
      </w:tr>
    </w:tbl>
    <w:p w14:paraId="18160ADD" w14:textId="77777777" w:rsidR="00C44095" w:rsidRPr="00F7239E" w:rsidRDefault="00C44095" w:rsidP="00C44095">
      <w:pPr>
        <w:spacing w:after="200" w:line="360" w:lineRule="auto"/>
        <w:contextualSpacing/>
        <w:jc w:val="both"/>
        <w:rPr>
          <w:rFonts w:ascii="Tahoma" w:hAnsi="Tahoma" w:cs="Tahoma"/>
          <w:i/>
          <w:iCs/>
          <w:sz w:val="20"/>
          <w:szCs w:val="20"/>
        </w:rPr>
      </w:pPr>
      <w:r w:rsidRPr="00F7239E">
        <w:rPr>
          <w:rFonts w:ascii="Tahoma" w:hAnsi="Tahoma" w:cs="Tahoma"/>
          <w:i/>
          <w:iCs/>
          <w:sz w:val="20"/>
          <w:szCs w:val="20"/>
        </w:rPr>
        <w:t>(causale: eliminazione rimanenze iniziali)</w:t>
      </w:r>
    </w:p>
    <w:p w14:paraId="4A8D05F2" w14:textId="77777777" w:rsidR="00FA7387" w:rsidRPr="00F7239E" w:rsidRDefault="00FA7387" w:rsidP="00F7239E">
      <w:pPr>
        <w:spacing w:after="200" w:line="360" w:lineRule="auto"/>
        <w:contextualSpacing/>
        <w:jc w:val="both"/>
        <w:rPr>
          <w:rFonts w:ascii="Tahoma" w:hAnsi="Tahoma" w:cs="Tahoma"/>
          <w:sz w:val="20"/>
          <w:szCs w:val="20"/>
        </w:rPr>
      </w:pPr>
    </w:p>
    <w:p w14:paraId="1F29FC9F" w14:textId="77777777" w:rsidR="00FA7387" w:rsidRPr="00F7239E" w:rsidRDefault="00FA7387" w:rsidP="00F7239E">
      <w:pPr>
        <w:numPr>
          <w:ilvl w:val="0"/>
          <w:numId w:val="25"/>
        </w:numPr>
        <w:spacing w:after="200" w:line="360" w:lineRule="auto"/>
        <w:jc w:val="both"/>
        <w:rPr>
          <w:rFonts w:ascii="Tahoma" w:hAnsi="Tahoma" w:cs="Tahoma"/>
          <w:sz w:val="20"/>
          <w:szCs w:val="20"/>
        </w:rPr>
      </w:pPr>
      <w:r w:rsidRPr="00F7239E">
        <w:rPr>
          <w:rFonts w:ascii="Tahoma" w:hAnsi="Tahoma" w:cs="Tahoma"/>
          <w:sz w:val="20"/>
          <w:szCs w:val="20"/>
        </w:rPr>
        <w:t>CASO DI INCREMENTO DELLE RIMANENZE</w:t>
      </w:r>
    </w:p>
    <w:p w14:paraId="28CD12DD" w14:textId="77777777" w:rsidR="00FA7387" w:rsidRDefault="00FA7387" w:rsidP="00F7239E">
      <w:pPr>
        <w:spacing w:after="200" w:line="360" w:lineRule="auto"/>
        <w:jc w:val="both"/>
        <w:rPr>
          <w:rFonts w:ascii="Tahoma" w:hAnsi="Tahoma" w:cs="Tahoma"/>
          <w:sz w:val="20"/>
          <w:szCs w:val="20"/>
        </w:rPr>
      </w:pPr>
      <w:r w:rsidRPr="00F7239E">
        <w:rPr>
          <w:rFonts w:ascii="Tahoma" w:hAnsi="Tahoma" w:cs="Tahoma"/>
          <w:sz w:val="20"/>
          <w:szCs w:val="20"/>
        </w:rPr>
        <w:t>1/1/2023</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7279BF0D" w14:textId="77777777" w:rsidTr="003B5138">
        <w:tc>
          <w:tcPr>
            <w:tcW w:w="3686" w:type="dxa"/>
            <w:tcBorders>
              <w:top w:val="single" w:sz="4" w:space="0" w:color="auto"/>
            </w:tcBorders>
          </w:tcPr>
          <w:p w14:paraId="494CFEF7" w14:textId="36CDEEF8"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(Stato Patrimoniale)</w:t>
            </w:r>
          </w:p>
        </w:tc>
        <w:tc>
          <w:tcPr>
            <w:tcW w:w="567" w:type="dxa"/>
          </w:tcPr>
          <w:p w14:paraId="29DE1E40"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493B52E5" w14:textId="32B79081"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Stato Patrimoniale iniziale</w:t>
            </w:r>
          </w:p>
        </w:tc>
        <w:tc>
          <w:tcPr>
            <w:tcW w:w="1559" w:type="dxa"/>
          </w:tcPr>
          <w:p w14:paraId="03E7E646" w14:textId="155570DF"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w:t>
            </w:r>
            <w:r w:rsidR="00C44095">
              <w:rPr>
                <w:rFonts w:ascii="Tahoma" w:hAnsi="Tahoma" w:cs="Tahoma"/>
                <w:sz w:val="20"/>
                <w:szCs w:val="20"/>
              </w:rPr>
              <w:t>0</w:t>
            </w:r>
          </w:p>
        </w:tc>
      </w:tr>
    </w:tbl>
    <w:p w14:paraId="1D5A4E6E" w14:textId="77777777" w:rsidR="00C44095" w:rsidRPr="00F7239E" w:rsidRDefault="00C44095" w:rsidP="00C44095">
      <w:pPr>
        <w:spacing w:after="200" w:line="360" w:lineRule="auto"/>
        <w:contextualSpacing/>
        <w:jc w:val="both"/>
        <w:rPr>
          <w:rFonts w:ascii="Tahoma" w:hAnsi="Tahoma" w:cs="Tahoma"/>
          <w:i/>
          <w:iCs/>
          <w:sz w:val="20"/>
          <w:szCs w:val="20"/>
        </w:rPr>
      </w:pPr>
      <w:r w:rsidRPr="00F7239E">
        <w:rPr>
          <w:rFonts w:ascii="Tahoma" w:hAnsi="Tahoma" w:cs="Tahoma"/>
          <w:sz w:val="20"/>
          <w:szCs w:val="20"/>
        </w:rPr>
        <w:t>(</w:t>
      </w:r>
      <w:r w:rsidRPr="00F7239E">
        <w:rPr>
          <w:rFonts w:ascii="Tahoma" w:hAnsi="Tahoma" w:cs="Tahoma"/>
          <w:i/>
          <w:iCs/>
          <w:sz w:val="20"/>
          <w:szCs w:val="20"/>
        </w:rPr>
        <w:t>causale: apertura conti)</w:t>
      </w:r>
    </w:p>
    <w:p w14:paraId="7FFFB2C6" w14:textId="77777777" w:rsidR="00FA7387" w:rsidRDefault="00FA7387" w:rsidP="00F7239E">
      <w:pPr>
        <w:spacing w:after="200" w:line="360" w:lineRule="auto"/>
        <w:jc w:val="both"/>
        <w:rPr>
          <w:rFonts w:ascii="Tahoma" w:hAnsi="Tahoma" w:cs="Tahoma"/>
          <w:sz w:val="20"/>
          <w:szCs w:val="20"/>
        </w:rPr>
      </w:pP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5DA51E9B" w14:textId="77777777" w:rsidTr="003B5138">
        <w:tc>
          <w:tcPr>
            <w:tcW w:w="3686" w:type="dxa"/>
            <w:tcBorders>
              <w:top w:val="single" w:sz="4" w:space="0" w:color="auto"/>
            </w:tcBorders>
          </w:tcPr>
          <w:p w14:paraId="2FCA30FE" w14:textId="77777777"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567" w:type="dxa"/>
          </w:tcPr>
          <w:p w14:paraId="7AC65769"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261460DD" w14:textId="3A25BB96" w:rsidR="006901CF" w:rsidRPr="00B15171" w:rsidRDefault="00C44095"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(Stato patrimoniale )</w:t>
            </w:r>
          </w:p>
        </w:tc>
        <w:tc>
          <w:tcPr>
            <w:tcW w:w="1559" w:type="dxa"/>
          </w:tcPr>
          <w:p w14:paraId="76D4D2BA" w14:textId="09D7C726"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w:t>
            </w:r>
            <w:r w:rsidR="00C44095">
              <w:rPr>
                <w:rFonts w:ascii="Tahoma" w:hAnsi="Tahoma" w:cs="Tahoma"/>
                <w:sz w:val="20"/>
                <w:szCs w:val="20"/>
              </w:rPr>
              <w:t>0</w:t>
            </w:r>
          </w:p>
        </w:tc>
      </w:tr>
    </w:tbl>
    <w:p w14:paraId="6F83D689" w14:textId="498A7C6E" w:rsidR="006901CF" w:rsidRPr="00F7239E" w:rsidRDefault="00C44095" w:rsidP="00F7239E">
      <w:pPr>
        <w:spacing w:after="200" w:line="360" w:lineRule="auto"/>
        <w:jc w:val="both"/>
        <w:rPr>
          <w:rFonts w:ascii="Tahoma" w:hAnsi="Tahoma" w:cs="Tahoma"/>
          <w:sz w:val="20"/>
          <w:szCs w:val="20"/>
        </w:rPr>
      </w:pPr>
      <w:r w:rsidRPr="00C44095">
        <w:rPr>
          <w:rFonts w:ascii="Tahoma" w:hAnsi="Tahoma" w:cs="Tahoma"/>
          <w:i/>
          <w:iCs/>
          <w:sz w:val="20"/>
          <w:szCs w:val="20"/>
        </w:rPr>
        <w:t>(causale: giroconto rimanenze iniziali)</w:t>
      </w:r>
    </w:p>
    <w:p w14:paraId="7ACA782B" w14:textId="77777777" w:rsidR="00FA7387" w:rsidRPr="00F7239E" w:rsidRDefault="00FA7387" w:rsidP="00F7239E">
      <w:pPr>
        <w:spacing w:after="200" w:line="360" w:lineRule="auto"/>
        <w:jc w:val="both"/>
        <w:rPr>
          <w:rFonts w:ascii="Tahoma" w:hAnsi="Tahoma" w:cs="Tahoma"/>
          <w:b/>
          <w:bCs/>
          <w:sz w:val="20"/>
          <w:szCs w:val="20"/>
        </w:rPr>
      </w:pPr>
    </w:p>
    <w:p w14:paraId="44710793" w14:textId="259619A4" w:rsidR="00FA7387" w:rsidRPr="00F7239E" w:rsidRDefault="00FA7387" w:rsidP="00F7239E">
      <w:pPr>
        <w:spacing w:after="200" w:line="360" w:lineRule="auto"/>
        <w:contextualSpacing/>
        <w:jc w:val="both"/>
        <w:rPr>
          <w:rFonts w:ascii="Tahoma" w:hAnsi="Tahoma" w:cs="Tahoma"/>
          <w:sz w:val="20"/>
          <w:szCs w:val="20"/>
        </w:rPr>
      </w:pPr>
      <w:r w:rsidRPr="00F7239E">
        <w:rPr>
          <w:rFonts w:ascii="Tahoma" w:hAnsi="Tahoma" w:cs="Tahoma"/>
          <w:b/>
          <w:bCs/>
          <w:sz w:val="20"/>
          <w:szCs w:val="20"/>
        </w:rPr>
        <w:t>Incremento delle rimanenze: 10</w:t>
      </w:r>
    </w:p>
    <w:tbl>
      <w:tblPr>
        <w:tblW w:w="9639" w:type="dxa"/>
        <w:tblLayout w:type="fixed"/>
        <w:tblCellMar>
          <w:left w:w="70" w:type="dxa"/>
          <w:right w:w="70" w:type="dxa"/>
        </w:tblCellMar>
        <w:tblLook w:val="0000" w:firstRow="0" w:lastRow="0" w:firstColumn="0" w:lastColumn="0" w:noHBand="0" w:noVBand="0"/>
      </w:tblPr>
      <w:tblGrid>
        <w:gridCol w:w="3686"/>
        <w:gridCol w:w="567"/>
        <w:gridCol w:w="3827"/>
        <w:gridCol w:w="1559"/>
      </w:tblGrid>
      <w:tr w:rsidR="006901CF" w:rsidRPr="00B15171" w14:paraId="39579F59" w14:textId="77777777" w:rsidTr="003B5138">
        <w:tc>
          <w:tcPr>
            <w:tcW w:w="3686" w:type="dxa"/>
            <w:tcBorders>
              <w:top w:val="single" w:sz="4" w:space="0" w:color="auto"/>
            </w:tcBorders>
          </w:tcPr>
          <w:p w14:paraId="39C3DF22" w14:textId="28C1230C"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Rimanenze iniziali (Conto economico)</w:t>
            </w:r>
          </w:p>
        </w:tc>
        <w:tc>
          <w:tcPr>
            <w:tcW w:w="567" w:type="dxa"/>
          </w:tcPr>
          <w:p w14:paraId="2A53EA07" w14:textId="77777777" w:rsidR="006901CF" w:rsidRPr="00B15171" w:rsidRDefault="006901CF" w:rsidP="003B5138">
            <w:pPr>
              <w:tabs>
                <w:tab w:val="left" w:pos="709"/>
              </w:tabs>
              <w:spacing w:before="120" w:after="200" w:line="360" w:lineRule="auto"/>
              <w:ind w:right="-70"/>
              <w:jc w:val="center"/>
              <w:rPr>
                <w:rFonts w:ascii="Tahoma" w:hAnsi="Tahoma" w:cs="Tahoma"/>
                <w:sz w:val="20"/>
                <w:szCs w:val="20"/>
              </w:rPr>
            </w:pPr>
            <w:r w:rsidRPr="00B15171">
              <w:rPr>
                <w:rFonts w:ascii="Tahoma" w:hAnsi="Tahoma" w:cs="Tahoma"/>
                <w:sz w:val="20"/>
                <w:szCs w:val="20"/>
              </w:rPr>
              <w:t>a</w:t>
            </w:r>
          </w:p>
        </w:tc>
        <w:tc>
          <w:tcPr>
            <w:tcW w:w="3827" w:type="dxa"/>
            <w:tcBorders>
              <w:top w:val="single" w:sz="4" w:space="0" w:color="auto"/>
            </w:tcBorders>
          </w:tcPr>
          <w:p w14:paraId="7045DDBD" w14:textId="6EA22CD2" w:rsidR="006901CF" w:rsidRPr="00B15171" w:rsidRDefault="006901CF" w:rsidP="003B5138">
            <w:pPr>
              <w:tabs>
                <w:tab w:val="left" w:pos="709"/>
              </w:tabs>
              <w:spacing w:before="120" w:after="200" w:line="360" w:lineRule="auto"/>
              <w:ind w:right="111"/>
              <w:jc w:val="both"/>
              <w:rPr>
                <w:rFonts w:ascii="Tahoma" w:hAnsi="Tahoma" w:cs="Tahoma"/>
                <w:sz w:val="20"/>
                <w:szCs w:val="20"/>
              </w:rPr>
            </w:pPr>
            <w:r w:rsidRPr="00F7239E">
              <w:rPr>
                <w:rFonts w:ascii="Tahoma" w:hAnsi="Tahoma" w:cs="Tahoma"/>
                <w:sz w:val="20"/>
                <w:szCs w:val="20"/>
              </w:rPr>
              <w:t>Sopravvenienze attive (A.5)</w:t>
            </w:r>
          </w:p>
        </w:tc>
        <w:tc>
          <w:tcPr>
            <w:tcW w:w="1559" w:type="dxa"/>
          </w:tcPr>
          <w:p w14:paraId="43589BA3" w14:textId="6CDE3729" w:rsidR="006901CF" w:rsidRPr="00B15171" w:rsidRDefault="006901CF" w:rsidP="003B5138">
            <w:pPr>
              <w:tabs>
                <w:tab w:val="left" w:pos="709"/>
              </w:tabs>
              <w:spacing w:after="200" w:line="360" w:lineRule="auto"/>
              <w:ind w:right="111"/>
              <w:jc w:val="right"/>
              <w:rPr>
                <w:rFonts w:ascii="Tahoma" w:hAnsi="Tahoma" w:cs="Tahoma"/>
                <w:sz w:val="20"/>
                <w:szCs w:val="20"/>
              </w:rPr>
            </w:pPr>
            <w:r>
              <w:rPr>
                <w:rFonts w:ascii="Tahoma" w:hAnsi="Tahoma" w:cs="Tahoma"/>
                <w:sz w:val="20"/>
                <w:szCs w:val="20"/>
              </w:rPr>
              <w:t>10</w:t>
            </w:r>
          </w:p>
        </w:tc>
      </w:tr>
    </w:tbl>
    <w:p w14:paraId="5801CCED" w14:textId="77777777" w:rsidR="006901CF" w:rsidRPr="00F7239E" w:rsidRDefault="006901CF" w:rsidP="006901CF">
      <w:pPr>
        <w:spacing w:after="200" w:line="360" w:lineRule="auto"/>
        <w:contextualSpacing/>
        <w:jc w:val="both"/>
        <w:rPr>
          <w:rFonts w:ascii="Tahoma" w:hAnsi="Tahoma" w:cs="Tahoma"/>
          <w:i/>
          <w:iCs/>
          <w:sz w:val="20"/>
          <w:szCs w:val="20"/>
        </w:rPr>
      </w:pPr>
      <w:r w:rsidRPr="00F7239E">
        <w:rPr>
          <w:rFonts w:ascii="Tahoma" w:hAnsi="Tahoma" w:cs="Tahoma"/>
          <w:i/>
          <w:iCs/>
          <w:sz w:val="20"/>
          <w:szCs w:val="20"/>
        </w:rPr>
        <w:t>(causale: incremento rimanenze iniziali)</w:t>
      </w:r>
    </w:p>
    <w:p w14:paraId="7E8FDCEC" w14:textId="77777777" w:rsidR="002C1637" w:rsidRPr="002C1637" w:rsidRDefault="002C1637" w:rsidP="002C1637">
      <w:pPr>
        <w:spacing w:after="200" w:line="360" w:lineRule="auto"/>
        <w:jc w:val="both"/>
        <w:rPr>
          <w:rFonts w:ascii="Tahoma" w:hAnsi="Tahoma" w:cs="Tahoma"/>
          <w:sz w:val="20"/>
          <w:szCs w:val="20"/>
        </w:rPr>
      </w:pPr>
    </w:p>
    <w:p w14:paraId="67324F8F" w14:textId="69E54A93" w:rsidR="002C1637" w:rsidRDefault="00F7239E" w:rsidP="00EF529C">
      <w:pPr>
        <w:spacing w:after="200" w:line="360" w:lineRule="auto"/>
        <w:jc w:val="both"/>
        <w:rPr>
          <w:rFonts w:ascii="Tahoma" w:hAnsi="Tahoma" w:cs="Tahoma"/>
          <w:sz w:val="20"/>
          <w:szCs w:val="20"/>
        </w:rPr>
      </w:pPr>
      <w:r>
        <w:rPr>
          <w:rFonts w:ascii="Tahoma" w:hAnsi="Tahoma" w:cs="Tahoma"/>
          <w:sz w:val="20"/>
          <w:szCs w:val="20"/>
        </w:rPr>
        <w:lastRenderedPageBreak/>
        <w:t>È</w:t>
      </w:r>
      <w:r w:rsidR="00D60534">
        <w:rPr>
          <w:rFonts w:ascii="Tahoma" w:hAnsi="Tahoma" w:cs="Tahoma"/>
          <w:sz w:val="20"/>
          <w:szCs w:val="20"/>
        </w:rPr>
        <w:t xml:space="preserve"> quindi evidente che qualora la correzione non sia rilevante, il passaggio in conto economico come componente straordinario comporta l’assorbimento della problematica all’interno del bilancio 2023, senza ripercussione immediata sul bilancio 2022. </w:t>
      </w:r>
    </w:p>
    <w:p w14:paraId="79F0D432" w14:textId="5CEA89DD" w:rsidR="00D60534" w:rsidRDefault="00D60534" w:rsidP="00EF529C">
      <w:pPr>
        <w:spacing w:after="200" w:line="360" w:lineRule="auto"/>
        <w:jc w:val="both"/>
        <w:rPr>
          <w:rFonts w:ascii="Tahoma" w:hAnsi="Tahoma" w:cs="Tahoma"/>
          <w:sz w:val="20"/>
          <w:szCs w:val="20"/>
        </w:rPr>
      </w:pPr>
      <w:r>
        <w:rPr>
          <w:rFonts w:ascii="Tahoma" w:hAnsi="Tahoma" w:cs="Tahoma"/>
          <w:sz w:val="20"/>
          <w:szCs w:val="20"/>
        </w:rPr>
        <w:t xml:space="preserve">Altra situazione è nel caso di errore rilevante: la correzione va infatti a insistere sul patrimonio netto iniziale </w:t>
      </w:r>
      <w:r w:rsidR="00A816EE">
        <w:rPr>
          <w:rFonts w:ascii="Tahoma" w:hAnsi="Tahoma" w:cs="Tahoma"/>
          <w:sz w:val="20"/>
          <w:szCs w:val="20"/>
        </w:rPr>
        <w:t xml:space="preserve">all’1/1/2023 </w:t>
      </w:r>
      <w:r>
        <w:rPr>
          <w:rFonts w:ascii="Tahoma" w:hAnsi="Tahoma" w:cs="Tahoma"/>
          <w:sz w:val="20"/>
          <w:szCs w:val="20"/>
        </w:rPr>
        <w:t>della società e quindi ciò che appare immediatamente chiaro è che il bilancio 2022 è significativamente errato, in quanto le rimanenze finali al 31/12/2022 sono affette da un errore rilevante, cioè da un errore che fa variare la decisione economica che l’utilizzatore del bilancio prende in base al bilancio stesso.</w:t>
      </w:r>
    </w:p>
    <w:p w14:paraId="16C3BA21" w14:textId="27E7EF3E" w:rsidR="00D60534" w:rsidRDefault="00D60534" w:rsidP="00EF529C">
      <w:pPr>
        <w:spacing w:after="200" w:line="360" w:lineRule="auto"/>
        <w:jc w:val="both"/>
        <w:rPr>
          <w:rFonts w:ascii="Tahoma" w:hAnsi="Tahoma" w:cs="Tahoma"/>
          <w:sz w:val="20"/>
          <w:szCs w:val="20"/>
        </w:rPr>
      </w:pPr>
      <w:r>
        <w:rPr>
          <w:rFonts w:ascii="Tahoma" w:hAnsi="Tahoma" w:cs="Tahoma"/>
          <w:sz w:val="20"/>
          <w:szCs w:val="20"/>
        </w:rPr>
        <w:t>L’esimente tributaria e penale non può estendersi alla responsabilità endosocietaria. Qualora cioè un soggetto titolato ad intraprendere un’azione di responsabilità abbia (ovvero ritenga di aver) subito un danno per effetto della errata appostazione delle rimanenze nel bilancio al 31/12/2022, non vi sarà una copertura normativa per gli amministratori, i sindaci e i revisori</w:t>
      </w:r>
      <w:r w:rsidR="000F5F4C">
        <w:rPr>
          <w:rFonts w:ascii="Tahoma" w:hAnsi="Tahoma" w:cs="Tahoma"/>
          <w:sz w:val="20"/>
          <w:szCs w:val="20"/>
        </w:rPr>
        <w:t>.</w:t>
      </w:r>
      <w:r w:rsidR="00F7239E">
        <w:rPr>
          <w:rFonts w:ascii="Tahoma" w:hAnsi="Tahoma" w:cs="Tahoma"/>
          <w:sz w:val="20"/>
          <w:szCs w:val="20"/>
        </w:rPr>
        <w:t xml:space="preserve"> </w:t>
      </w:r>
      <w:r>
        <w:rPr>
          <w:rFonts w:ascii="Tahoma" w:hAnsi="Tahoma" w:cs="Tahoma"/>
          <w:sz w:val="20"/>
          <w:szCs w:val="20"/>
        </w:rPr>
        <w:t xml:space="preserve">Ad esempio: una persona fisica è stato socio al 50% della società fino all’approvazione del bilancio 2022 ed ha percepito un dividendo, in base al risultato 2022 della società. In data 30/4/2023, subito dopo l’assemblea </w:t>
      </w:r>
      <w:r w:rsidR="00661DA0">
        <w:rPr>
          <w:rFonts w:ascii="Tahoma" w:hAnsi="Tahoma" w:cs="Tahoma"/>
          <w:sz w:val="20"/>
          <w:szCs w:val="20"/>
        </w:rPr>
        <w:t xml:space="preserve">di approvazione del bilancio, </w:t>
      </w:r>
      <w:r>
        <w:rPr>
          <w:rFonts w:ascii="Tahoma" w:hAnsi="Tahoma" w:cs="Tahoma"/>
          <w:sz w:val="20"/>
          <w:szCs w:val="20"/>
        </w:rPr>
        <w:t xml:space="preserve">il socio cede la sua partecipazione. La società </w:t>
      </w:r>
      <w:r w:rsidR="00661DA0">
        <w:rPr>
          <w:rFonts w:ascii="Tahoma" w:hAnsi="Tahoma" w:cs="Tahoma"/>
          <w:sz w:val="20"/>
          <w:szCs w:val="20"/>
        </w:rPr>
        <w:t>decide per i</w:t>
      </w:r>
      <w:r>
        <w:rPr>
          <w:rFonts w:ascii="Tahoma" w:hAnsi="Tahoma" w:cs="Tahoma"/>
          <w:sz w:val="20"/>
          <w:szCs w:val="20"/>
        </w:rPr>
        <w:t>l riallineamento del magazzino, procedendo, come nell’esempio soprastante, all’incremento del valore all’1/1/2023 per 20, con conseguente aumento degli Utili degli esercizi precedenti.</w:t>
      </w:r>
    </w:p>
    <w:p w14:paraId="7A7A4E9C" w14:textId="5E397C4C" w:rsidR="00D60534" w:rsidRDefault="00D60534" w:rsidP="00EF529C">
      <w:pPr>
        <w:spacing w:after="200" w:line="360" w:lineRule="auto"/>
        <w:jc w:val="both"/>
        <w:rPr>
          <w:rFonts w:ascii="Tahoma" w:hAnsi="Tahoma" w:cs="Tahoma"/>
          <w:sz w:val="20"/>
          <w:szCs w:val="20"/>
        </w:rPr>
      </w:pPr>
      <w:r>
        <w:rPr>
          <w:rFonts w:ascii="Tahoma" w:hAnsi="Tahoma" w:cs="Tahoma"/>
          <w:sz w:val="20"/>
          <w:szCs w:val="20"/>
        </w:rPr>
        <w:t>Il socio potrebbe quindi intraprendere un’azione di responsabilità sia per il danno subito per il minor dividendo percepito che per quello derivante dalla circostanza che la valutazione della sua quota sarebbe stata maggiore se il risultato di esercizio fosse stato maggiore, per effetto del corretto importo delle rimanenze.</w:t>
      </w:r>
    </w:p>
    <w:p w14:paraId="66D1C98D" w14:textId="0BF29428" w:rsidR="000F5F4C" w:rsidRDefault="000F5F4C" w:rsidP="00EF529C">
      <w:pPr>
        <w:spacing w:after="200" w:line="360" w:lineRule="auto"/>
        <w:jc w:val="both"/>
        <w:rPr>
          <w:rFonts w:ascii="Tahoma" w:hAnsi="Tahoma" w:cs="Tahoma"/>
          <w:sz w:val="20"/>
          <w:szCs w:val="20"/>
        </w:rPr>
      </w:pPr>
      <w:r>
        <w:rPr>
          <w:rFonts w:ascii="Tahoma" w:hAnsi="Tahoma" w:cs="Tahoma"/>
          <w:sz w:val="20"/>
          <w:szCs w:val="20"/>
        </w:rPr>
        <w:t>Ovviamente le problematiche e le criticità potrebbero portare all’impugnativa dei bilanci e alle azioni per l’annullamento delle delibere assembleari concernenti il bilancio</w:t>
      </w:r>
      <w:r w:rsidR="00383993">
        <w:rPr>
          <w:rFonts w:ascii="Tahoma" w:hAnsi="Tahoma" w:cs="Tahoma"/>
          <w:sz w:val="20"/>
          <w:szCs w:val="20"/>
        </w:rPr>
        <w:t>.</w:t>
      </w:r>
    </w:p>
    <w:p w14:paraId="00F000BB" w14:textId="6C9A067C" w:rsidR="00D60534" w:rsidRDefault="000F5F4C" w:rsidP="00EF529C">
      <w:pPr>
        <w:spacing w:after="200" w:line="360" w:lineRule="auto"/>
        <w:jc w:val="both"/>
        <w:rPr>
          <w:rFonts w:ascii="Tahoma" w:hAnsi="Tahoma" w:cs="Tahoma"/>
          <w:sz w:val="20"/>
          <w:szCs w:val="20"/>
        </w:rPr>
      </w:pPr>
      <w:r>
        <w:rPr>
          <w:rFonts w:ascii="Tahoma" w:hAnsi="Tahoma" w:cs="Tahoma"/>
          <w:sz w:val="20"/>
          <w:szCs w:val="20"/>
        </w:rPr>
        <w:t>Di particolare delicatezza sarà la posizione dei revisori, e di conseguenza dei sindaci, che hanno fatto affidamento sulla relazione dei revisori.</w:t>
      </w:r>
    </w:p>
    <w:p w14:paraId="51AE1CA7" w14:textId="61231E2D" w:rsidR="00EF529C" w:rsidRDefault="000F5F4C" w:rsidP="009F685C">
      <w:pPr>
        <w:spacing w:after="200" w:line="360" w:lineRule="auto"/>
        <w:jc w:val="both"/>
        <w:rPr>
          <w:rFonts w:ascii="Tahoma" w:hAnsi="Tahoma" w:cs="Tahoma"/>
          <w:sz w:val="20"/>
          <w:szCs w:val="20"/>
        </w:rPr>
      </w:pPr>
      <w:r>
        <w:rPr>
          <w:rFonts w:ascii="Tahoma" w:hAnsi="Tahoma" w:cs="Tahoma"/>
          <w:sz w:val="20"/>
          <w:szCs w:val="20"/>
        </w:rPr>
        <w:t>Nel caso in cui i revisori abbiano espresso un giudizio senza modifica sul bilancio ed invece il bilancio era affetto da un errore rilevante, ovviamente con ciò si dimostrerebbe che le procedure di revisione, ed in particolare quelle previste dal Principio di Revisione Internazionale (ISA Italia) 501 (che inerisce le verifiche inventariali), non siano state applicate correttamente o addirittura non sono state applicate. Conseguenziali problematiche sorgeranno anche per i sindaci, che hanno concluso la loro relazione con le osservazioni e proposte in merito al bilancio, in base ed in conseguenza della relazione di revisione.</w:t>
      </w:r>
    </w:p>
    <w:p w14:paraId="072AEFF9" w14:textId="296962B6" w:rsidR="000F5F4C" w:rsidRDefault="00661DA0" w:rsidP="009F685C">
      <w:pPr>
        <w:spacing w:after="200" w:line="360" w:lineRule="auto"/>
        <w:jc w:val="both"/>
        <w:rPr>
          <w:rFonts w:ascii="Tahoma" w:hAnsi="Tahoma" w:cs="Tahoma"/>
          <w:sz w:val="20"/>
          <w:szCs w:val="20"/>
        </w:rPr>
      </w:pPr>
      <w:r>
        <w:rPr>
          <w:rFonts w:ascii="Tahoma" w:hAnsi="Tahoma" w:cs="Tahoma"/>
          <w:sz w:val="20"/>
          <w:szCs w:val="20"/>
        </w:rPr>
        <w:t xml:space="preserve">Interventi </w:t>
      </w:r>
      <w:r>
        <w:rPr>
          <w:rFonts w:ascii="Tahoma" w:hAnsi="Tahoma" w:cs="Tahoma"/>
          <w:i/>
          <w:iCs/>
          <w:sz w:val="20"/>
          <w:szCs w:val="20"/>
        </w:rPr>
        <w:t>ex post</w:t>
      </w:r>
      <w:r w:rsidR="000F5F4C">
        <w:rPr>
          <w:rFonts w:ascii="Tahoma" w:hAnsi="Tahoma" w:cs="Tahoma"/>
          <w:sz w:val="20"/>
          <w:szCs w:val="20"/>
        </w:rPr>
        <w:t xml:space="preserve">, come ad esempio </w:t>
      </w:r>
      <w:r>
        <w:rPr>
          <w:rFonts w:ascii="Tahoma" w:hAnsi="Tahoma" w:cs="Tahoma"/>
          <w:sz w:val="20"/>
          <w:szCs w:val="20"/>
        </w:rPr>
        <w:t xml:space="preserve">la </w:t>
      </w:r>
      <w:r w:rsidR="000F5F4C">
        <w:rPr>
          <w:rFonts w:ascii="Tahoma" w:hAnsi="Tahoma" w:cs="Tahoma"/>
          <w:sz w:val="20"/>
          <w:szCs w:val="20"/>
        </w:rPr>
        <w:t>riapprovazione del bilancio 2022, sono comunque in grado solo di affievolire, ma non di eliminare i pesanti rischi che dalla correzione di un errore rilevante sul magazzino possono derivare per amministratori, sindaci e revisori.</w:t>
      </w:r>
    </w:p>
    <w:p w14:paraId="5C8CA462" w14:textId="52A49611" w:rsidR="00661DA0" w:rsidRPr="00894EDA" w:rsidRDefault="00661DA0" w:rsidP="009F685C">
      <w:pPr>
        <w:spacing w:after="200" w:line="360" w:lineRule="auto"/>
        <w:jc w:val="both"/>
        <w:rPr>
          <w:rFonts w:ascii="Tahoma" w:hAnsi="Tahoma" w:cs="Tahoma"/>
          <w:sz w:val="20"/>
          <w:szCs w:val="20"/>
        </w:rPr>
      </w:pPr>
      <w:r>
        <w:rPr>
          <w:rFonts w:ascii="Tahoma" w:hAnsi="Tahoma" w:cs="Tahoma"/>
          <w:sz w:val="20"/>
          <w:szCs w:val="20"/>
        </w:rPr>
        <w:t>E’ quindi necessario affrontare con particolare attenzione la fattispecie e procedere al riallineamento solo nei casi in cui il rischio per amministratori, sindaci e revisori sia minimo.</w:t>
      </w:r>
    </w:p>
    <w:sectPr w:rsidR="00661DA0" w:rsidRPr="00894EDA" w:rsidSect="00CD27CA">
      <w:pgSz w:w="11906" w:h="16838" w:code="9"/>
      <w:pgMar w:top="1418"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8B979" w14:textId="77777777" w:rsidR="00CD27CA" w:rsidRDefault="00CD27CA" w:rsidP="0094558C">
      <w:r>
        <w:separator/>
      </w:r>
    </w:p>
  </w:endnote>
  <w:endnote w:type="continuationSeparator" w:id="0">
    <w:p w14:paraId="12259AA8" w14:textId="77777777" w:rsidR="00CD27CA" w:rsidRDefault="00CD27CA" w:rsidP="0094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Minion Pro">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9D1F" w14:textId="77777777" w:rsidR="00B15171" w:rsidRDefault="00B15171"/>
  <w:tbl>
    <w:tblPr>
      <w:tblW w:w="0" w:type="auto"/>
      <w:tblInd w:w="108" w:type="dxa"/>
      <w:tblLayout w:type="fixed"/>
      <w:tblLook w:val="0000" w:firstRow="0" w:lastRow="0" w:firstColumn="0" w:lastColumn="0" w:noHBand="0" w:noVBand="0"/>
    </w:tblPr>
    <w:tblGrid>
      <w:gridCol w:w="9464"/>
    </w:tblGrid>
    <w:tr w:rsidR="00B15171" w:rsidRPr="0097067A" w14:paraId="033444CA" w14:textId="77777777">
      <w:trPr>
        <w:trHeight w:val="274"/>
      </w:trPr>
      <w:tc>
        <w:tcPr>
          <w:tcW w:w="9464" w:type="dxa"/>
          <w:tcBorders>
            <w:top w:val="single" w:sz="4" w:space="0" w:color="FF0000"/>
          </w:tcBorders>
          <w:shd w:val="clear" w:color="auto" w:fill="auto"/>
        </w:tcPr>
        <w:p w14:paraId="1580B164" w14:textId="77777777" w:rsidR="00B15171" w:rsidRPr="0097067A" w:rsidRDefault="00B15171">
          <w:pPr>
            <w:snapToGrid w:val="0"/>
            <w:spacing w:line="200" w:lineRule="exact"/>
            <w:rPr>
              <w:b/>
              <w:color w:val="4F81BD"/>
              <w:sz w:val="18"/>
              <w:szCs w:val="18"/>
            </w:rPr>
          </w:pPr>
        </w:p>
        <w:p w14:paraId="0521F803" w14:textId="77777777" w:rsidR="00B15171" w:rsidRPr="0097067A" w:rsidRDefault="00B15171">
          <w:pPr>
            <w:spacing w:line="200" w:lineRule="exact"/>
          </w:pPr>
          <w:r w:rsidRPr="0097067A">
            <w:rPr>
              <w:b/>
              <w:color w:val="4F81BD"/>
              <w:sz w:val="18"/>
              <w:szCs w:val="18"/>
            </w:rPr>
            <w:t xml:space="preserve">E Book – Collana I PRATICI di </w:t>
          </w:r>
          <w:proofErr w:type="spellStart"/>
          <w:r w:rsidRPr="0097067A">
            <w:rPr>
              <w:b/>
              <w:color w:val="4F81BD"/>
              <w:sz w:val="18"/>
              <w:szCs w:val="18"/>
            </w:rPr>
            <w:t>Fiscoetasse</w:t>
          </w:r>
          <w:proofErr w:type="spellEnd"/>
          <w:r w:rsidRPr="0097067A">
            <w:rPr>
              <w:b/>
              <w:color w:val="4F81BD"/>
              <w:sz w:val="18"/>
              <w:szCs w:val="18"/>
            </w:rPr>
            <w:t xml:space="preserve">                        </w:t>
          </w:r>
          <w:r w:rsidRPr="0097067A">
            <w:rPr>
              <w:b/>
              <w:color w:val="4F81BD"/>
              <w:sz w:val="18"/>
              <w:szCs w:val="18"/>
            </w:rPr>
            <w:fldChar w:fldCharType="begin"/>
          </w:r>
          <w:r w:rsidRPr="0097067A">
            <w:rPr>
              <w:b/>
              <w:color w:val="4F81BD"/>
              <w:sz w:val="18"/>
              <w:szCs w:val="18"/>
            </w:rPr>
            <w:instrText xml:space="preserve"> PAGE </w:instrText>
          </w:r>
          <w:r w:rsidRPr="0097067A">
            <w:rPr>
              <w:b/>
              <w:color w:val="4F81BD"/>
              <w:sz w:val="18"/>
              <w:szCs w:val="18"/>
            </w:rPr>
            <w:fldChar w:fldCharType="separate"/>
          </w:r>
          <w:r w:rsidRPr="0097067A">
            <w:rPr>
              <w:b/>
              <w:color w:val="4F81BD"/>
              <w:sz w:val="18"/>
              <w:szCs w:val="18"/>
            </w:rPr>
            <w:t>0</w:t>
          </w:r>
          <w:r w:rsidRPr="0097067A">
            <w:rPr>
              <w:b/>
              <w:color w:val="4F81BD"/>
              <w:sz w:val="18"/>
              <w:szCs w:val="18"/>
            </w:rPr>
            <w:fldChar w:fldCharType="end"/>
          </w:r>
        </w:p>
      </w:tc>
    </w:tr>
  </w:tbl>
  <w:p w14:paraId="073FA79E" w14:textId="77777777" w:rsidR="00B15171" w:rsidRDefault="00B1517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44B1D" w14:textId="77777777" w:rsidR="00B15171" w:rsidRDefault="00B15171"/>
  <w:tbl>
    <w:tblPr>
      <w:tblW w:w="0" w:type="auto"/>
      <w:tblLayout w:type="fixed"/>
      <w:tblLook w:val="0000" w:firstRow="0" w:lastRow="0" w:firstColumn="0" w:lastColumn="0" w:noHBand="0" w:noVBand="0"/>
    </w:tblPr>
    <w:tblGrid>
      <w:gridCol w:w="9464"/>
    </w:tblGrid>
    <w:tr w:rsidR="00B15171" w:rsidRPr="0097067A" w14:paraId="581491DE" w14:textId="77777777">
      <w:trPr>
        <w:trHeight w:val="274"/>
      </w:trPr>
      <w:tc>
        <w:tcPr>
          <w:tcW w:w="9464" w:type="dxa"/>
          <w:tcBorders>
            <w:top w:val="single" w:sz="4" w:space="0" w:color="FF0000"/>
          </w:tcBorders>
          <w:shd w:val="clear" w:color="auto" w:fill="auto"/>
        </w:tcPr>
        <w:p w14:paraId="2F5265FD" w14:textId="77777777" w:rsidR="00B15171" w:rsidRPr="0097067A" w:rsidRDefault="00B15171">
          <w:pPr>
            <w:snapToGrid w:val="0"/>
          </w:pPr>
        </w:p>
        <w:p w14:paraId="071F5535" w14:textId="77777777" w:rsidR="00B15171" w:rsidRPr="0097067A" w:rsidRDefault="00B15171">
          <w:r w:rsidRPr="0097067A">
            <w:t xml:space="preserve">E Book – Collana I PRATICI di </w:t>
          </w:r>
          <w:proofErr w:type="spellStart"/>
          <w:r w:rsidRPr="0097067A">
            <w:t>Fiscoetasse</w:t>
          </w:r>
          <w:proofErr w:type="spellEnd"/>
          <w:r w:rsidRPr="0097067A">
            <w:t xml:space="preserve">                                                                                                  </w:t>
          </w:r>
          <w:r w:rsidRPr="0097067A">
            <w:fldChar w:fldCharType="begin"/>
          </w:r>
          <w:r w:rsidRPr="0097067A">
            <w:instrText xml:space="preserve"> PAGE </w:instrText>
          </w:r>
          <w:r w:rsidRPr="0097067A">
            <w:fldChar w:fldCharType="separate"/>
          </w:r>
          <w:r w:rsidRPr="0097067A">
            <w:t>5</w:t>
          </w:r>
          <w:r w:rsidRPr="0097067A">
            <w:fldChar w:fldCharType="end"/>
          </w:r>
          <w:r w:rsidRPr="0097067A">
            <w:t xml:space="preserve"> </w:t>
          </w:r>
        </w:p>
      </w:tc>
    </w:tr>
  </w:tbl>
  <w:p w14:paraId="282CD3A8" w14:textId="77777777" w:rsidR="00B15171" w:rsidRDefault="00B151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6DF9" w14:textId="77777777" w:rsidR="00B15171" w:rsidRDefault="00B1517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2D26" w14:textId="77777777" w:rsidR="00B15171" w:rsidRDefault="00B15171"/>
  <w:tbl>
    <w:tblPr>
      <w:tblW w:w="0" w:type="auto"/>
      <w:tblInd w:w="108" w:type="dxa"/>
      <w:tblLayout w:type="fixed"/>
      <w:tblLook w:val="0000" w:firstRow="0" w:lastRow="0" w:firstColumn="0" w:lastColumn="0" w:noHBand="0" w:noVBand="0"/>
    </w:tblPr>
    <w:tblGrid>
      <w:gridCol w:w="9464"/>
    </w:tblGrid>
    <w:tr w:rsidR="00B15171" w14:paraId="2577CB4E" w14:textId="77777777">
      <w:trPr>
        <w:trHeight w:val="274"/>
      </w:trPr>
      <w:tc>
        <w:tcPr>
          <w:tcW w:w="9464" w:type="dxa"/>
          <w:tcBorders>
            <w:top w:val="single" w:sz="4" w:space="0" w:color="FF0000"/>
          </w:tcBorders>
          <w:shd w:val="clear" w:color="auto" w:fill="auto"/>
        </w:tcPr>
        <w:p w14:paraId="1DB7E5D9" w14:textId="77777777" w:rsidR="00B15171" w:rsidRDefault="00B15171">
          <w:pPr>
            <w:widowControl w:val="0"/>
            <w:snapToGrid w:val="0"/>
            <w:spacing w:line="200" w:lineRule="exact"/>
            <w:rPr>
              <w:rFonts w:ascii="Tahoma" w:eastAsia="Calibri" w:hAnsi="Tahoma" w:cs="Tahoma"/>
              <w:b/>
              <w:color w:val="4F81BD"/>
              <w:sz w:val="18"/>
              <w:szCs w:val="18"/>
            </w:rPr>
          </w:pPr>
        </w:p>
        <w:p w14:paraId="32F96A82" w14:textId="77777777" w:rsidR="00B15171" w:rsidRDefault="00B15171">
          <w:pPr>
            <w:widowControl w:val="0"/>
            <w:spacing w:line="200" w:lineRule="exact"/>
          </w:pPr>
          <w:r>
            <w:rPr>
              <w:rFonts w:ascii="Tahoma" w:eastAsia="Calibri" w:hAnsi="Tahoma" w:cs="Tahoma"/>
              <w:b/>
              <w:color w:val="4F81BD"/>
              <w:sz w:val="18"/>
              <w:szCs w:val="18"/>
            </w:rPr>
            <w:t xml:space="preserve">E Book – Collana I PRATICI di </w:t>
          </w:r>
          <w:proofErr w:type="spellStart"/>
          <w:r>
            <w:rPr>
              <w:rFonts w:ascii="Tahoma" w:eastAsia="Calibri" w:hAnsi="Tahoma" w:cs="Tahoma"/>
              <w:b/>
              <w:color w:val="4F81BD"/>
              <w:sz w:val="18"/>
              <w:szCs w:val="18"/>
            </w:rPr>
            <w:t>Fiscoetasse</w:t>
          </w:r>
          <w:proofErr w:type="spellEnd"/>
          <w:r>
            <w:rPr>
              <w:rFonts w:ascii="Tahoma" w:eastAsia="Calibri" w:hAnsi="Tahoma" w:cs="Tahoma"/>
              <w:b/>
              <w:color w:val="4F81BD"/>
              <w:sz w:val="18"/>
              <w:szCs w:val="18"/>
            </w:rPr>
            <w:t xml:space="preserve">                                                                                                 </w:t>
          </w:r>
          <w:r w:rsidRPr="00493351">
            <w:rPr>
              <w:rFonts w:ascii="Tahoma" w:eastAsia="Calibri" w:hAnsi="Tahoma" w:cs="Tahoma"/>
              <w:b/>
              <w:color w:val="4F81BD"/>
              <w:sz w:val="18"/>
              <w:szCs w:val="18"/>
            </w:rPr>
            <w:t xml:space="preserve"> </w:t>
          </w:r>
          <w:r w:rsidRPr="00493351">
            <w:rPr>
              <w:rFonts w:ascii="Tahoma" w:eastAsia="Calibri" w:hAnsi="Tahoma" w:cs="Tahoma"/>
              <w:b/>
              <w:color w:val="4F81BD"/>
              <w:sz w:val="18"/>
              <w:szCs w:val="18"/>
            </w:rPr>
            <w:fldChar w:fldCharType="begin"/>
          </w:r>
          <w:r w:rsidRPr="00493351">
            <w:rPr>
              <w:rFonts w:ascii="Tahoma" w:eastAsia="Calibri" w:hAnsi="Tahoma" w:cs="Tahoma"/>
              <w:b/>
              <w:color w:val="4F81BD"/>
              <w:sz w:val="18"/>
              <w:szCs w:val="18"/>
            </w:rPr>
            <w:instrText xml:space="preserve"> PAGE </w:instrText>
          </w:r>
          <w:r w:rsidRPr="00493351">
            <w:rPr>
              <w:rFonts w:ascii="Tahoma" w:eastAsia="Calibri" w:hAnsi="Tahoma" w:cs="Tahoma"/>
              <w:b/>
              <w:color w:val="4F81BD"/>
              <w:sz w:val="18"/>
              <w:szCs w:val="18"/>
            </w:rPr>
            <w:fldChar w:fldCharType="separate"/>
          </w:r>
          <w:r w:rsidRPr="00493351">
            <w:rPr>
              <w:rFonts w:ascii="Tahoma" w:eastAsia="Calibri" w:hAnsi="Tahoma" w:cs="Tahoma"/>
              <w:b/>
              <w:noProof/>
              <w:color w:val="4F81BD"/>
              <w:sz w:val="18"/>
              <w:szCs w:val="18"/>
            </w:rPr>
            <w:t>3</w:t>
          </w:r>
          <w:r w:rsidRPr="00493351">
            <w:rPr>
              <w:rFonts w:ascii="Tahoma" w:eastAsia="Calibri" w:hAnsi="Tahoma" w:cs="Tahoma"/>
              <w:b/>
              <w:color w:val="4F81BD"/>
              <w:sz w:val="18"/>
              <w:szCs w:val="18"/>
            </w:rPr>
            <w:fldChar w:fldCharType="end"/>
          </w:r>
          <w:r>
            <w:rPr>
              <w:rFonts w:ascii="Tahoma" w:eastAsia="Calibri" w:hAnsi="Tahoma" w:cs="Tahoma"/>
              <w:b/>
              <w:color w:val="4F81BD"/>
              <w:sz w:val="18"/>
              <w:szCs w:val="18"/>
            </w:rPr>
            <w:t xml:space="preserve"> </w:t>
          </w:r>
        </w:p>
      </w:tc>
    </w:tr>
  </w:tbl>
  <w:p w14:paraId="748E0B5F" w14:textId="77777777" w:rsidR="00320F6E" w:rsidRDefault="00320F6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4D442" w14:textId="77777777" w:rsidR="00B15171" w:rsidRDefault="00B15171">
    <w:pPr>
      <w:pStyle w:val="Sottotitolo"/>
    </w:pPr>
  </w:p>
  <w:p w14:paraId="1F5FAA07" w14:textId="77777777" w:rsidR="00B15171" w:rsidRDefault="00B15171">
    <w:pPr>
      <w:pStyle w:val="Sottotitol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E48E" w14:textId="77777777" w:rsidR="00B15171" w:rsidRDefault="00B151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42828" w14:textId="77777777" w:rsidR="00B15171" w:rsidRDefault="00B15171"/>
  <w:tbl>
    <w:tblPr>
      <w:tblW w:w="0" w:type="auto"/>
      <w:tblLayout w:type="fixed"/>
      <w:tblLook w:val="0000" w:firstRow="0" w:lastRow="0" w:firstColumn="0" w:lastColumn="0" w:noHBand="0" w:noVBand="0"/>
    </w:tblPr>
    <w:tblGrid>
      <w:gridCol w:w="9464"/>
    </w:tblGrid>
    <w:tr w:rsidR="00B15171" w:rsidRPr="0097067A" w14:paraId="01A7EF68" w14:textId="77777777">
      <w:trPr>
        <w:trHeight w:val="274"/>
      </w:trPr>
      <w:tc>
        <w:tcPr>
          <w:tcW w:w="9464" w:type="dxa"/>
          <w:tcBorders>
            <w:top w:val="single" w:sz="4" w:space="0" w:color="FF0000"/>
          </w:tcBorders>
          <w:shd w:val="clear" w:color="auto" w:fill="auto"/>
        </w:tcPr>
        <w:p w14:paraId="5EE56277" w14:textId="77777777" w:rsidR="00B15171" w:rsidRPr="0097067A" w:rsidRDefault="00B15171">
          <w:pPr>
            <w:snapToGrid w:val="0"/>
            <w:spacing w:line="200" w:lineRule="exact"/>
            <w:rPr>
              <w:b/>
              <w:color w:val="4F81BD"/>
              <w:sz w:val="18"/>
              <w:szCs w:val="18"/>
            </w:rPr>
          </w:pPr>
        </w:p>
        <w:p w14:paraId="20FF6A91" w14:textId="77777777" w:rsidR="00B15171" w:rsidRPr="0097067A" w:rsidRDefault="00B15171">
          <w:pPr>
            <w:spacing w:line="200" w:lineRule="exact"/>
          </w:pPr>
          <w:r w:rsidRPr="0097067A">
            <w:rPr>
              <w:b/>
              <w:color w:val="4F81BD"/>
              <w:sz w:val="18"/>
              <w:szCs w:val="18"/>
            </w:rPr>
            <w:t xml:space="preserve">E Book – Collana I PRATICI di </w:t>
          </w:r>
          <w:proofErr w:type="spellStart"/>
          <w:r w:rsidRPr="0097067A">
            <w:rPr>
              <w:b/>
              <w:color w:val="4F81BD"/>
              <w:sz w:val="18"/>
              <w:szCs w:val="18"/>
            </w:rPr>
            <w:t>Fiscoetasse</w:t>
          </w:r>
          <w:proofErr w:type="spellEnd"/>
          <w:r w:rsidRPr="0097067A">
            <w:rPr>
              <w:b/>
              <w:color w:val="4F81BD"/>
              <w:sz w:val="18"/>
              <w:szCs w:val="18"/>
            </w:rPr>
            <w:t xml:space="preserve">                        </w:t>
          </w:r>
          <w:r w:rsidRPr="0097067A">
            <w:rPr>
              <w:b/>
              <w:color w:val="4F81BD"/>
              <w:sz w:val="18"/>
              <w:szCs w:val="18"/>
            </w:rPr>
            <w:fldChar w:fldCharType="begin"/>
          </w:r>
          <w:r w:rsidRPr="0097067A">
            <w:rPr>
              <w:b/>
              <w:color w:val="4F81BD"/>
              <w:sz w:val="18"/>
              <w:szCs w:val="18"/>
            </w:rPr>
            <w:instrText xml:space="preserve"> PAGE </w:instrText>
          </w:r>
          <w:r w:rsidRPr="0097067A">
            <w:rPr>
              <w:b/>
              <w:color w:val="4F81BD"/>
              <w:sz w:val="18"/>
              <w:szCs w:val="18"/>
            </w:rPr>
            <w:fldChar w:fldCharType="separate"/>
          </w:r>
          <w:r w:rsidRPr="0097067A">
            <w:rPr>
              <w:b/>
              <w:color w:val="4F81BD"/>
              <w:sz w:val="18"/>
              <w:szCs w:val="18"/>
            </w:rPr>
            <w:t>3</w:t>
          </w:r>
          <w:r w:rsidRPr="0097067A">
            <w:rPr>
              <w:b/>
              <w:color w:val="4F81BD"/>
              <w:sz w:val="18"/>
              <w:szCs w:val="18"/>
            </w:rPr>
            <w:fldChar w:fldCharType="end"/>
          </w:r>
        </w:p>
      </w:tc>
    </w:tr>
  </w:tbl>
  <w:p w14:paraId="22981B23" w14:textId="77777777" w:rsidR="00B15171" w:rsidRDefault="00B151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5E54" w14:textId="77777777" w:rsidR="00B15171" w:rsidRDefault="00B15171">
    <w:pPr>
      <w:pStyle w:val="Sottotitolo"/>
    </w:pPr>
  </w:p>
  <w:p w14:paraId="54EB8CB0" w14:textId="77777777" w:rsidR="00B15171" w:rsidRDefault="00B15171">
    <w:pPr>
      <w:pStyle w:val="Sottotitol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D334" w14:textId="77777777" w:rsidR="00B15171" w:rsidRDefault="00B1517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4FD0" w14:textId="77777777" w:rsidR="00B15171" w:rsidRDefault="00B15171"/>
  <w:tbl>
    <w:tblPr>
      <w:tblW w:w="0" w:type="auto"/>
      <w:tblLayout w:type="fixed"/>
      <w:tblLook w:val="0000" w:firstRow="0" w:lastRow="0" w:firstColumn="0" w:lastColumn="0" w:noHBand="0" w:noVBand="0"/>
    </w:tblPr>
    <w:tblGrid>
      <w:gridCol w:w="9464"/>
    </w:tblGrid>
    <w:tr w:rsidR="00B15171" w:rsidRPr="0097067A" w14:paraId="7B7D1FD1" w14:textId="77777777">
      <w:trPr>
        <w:trHeight w:val="274"/>
      </w:trPr>
      <w:tc>
        <w:tcPr>
          <w:tcW w:w="9464" w:type="dxa"/>
          <w:tcBorders>
            <w:top w:val="single" w:sz="4" w:space="0" w:color="FF0000"/>
          </w:tcBorders>
          <w:shd w:val="clear" w:color="auto" w:fill="auto"/>
        </w:tcPr>
        <w:p w14:paraId="71D69DB9" w14:textId="77777777" w:rsidR="00B15171" w:rsidRPr="0097067A" w:rsidRDefault="00B15171">
          <w:pPr>
            <w:snapToGrid w:val="0"/>
            <w:spacing w:line="200" w:lineRule="exact"/>
            <w:rPr>
              <w:rFonts w:cs="Tahoma"/>
              <w:b/>
              <w:color w:val="4F81BD"/>
              <w:sz w:val="18"/>
              <w:szCs w:val="18"/>
            </w:rPr>
          </w:pPr>
        </w:p>
        <w:p w14:paraId="516DC721" w14:textId="77777777" w:rsidR="00B15171" w:rsidRPr="0097067A" w:rsidRDefault="00B15171">
          <w:pPr>
            <w:spacing w:line="200" w:lineRule="exact"/>
          </w:pPr>
          <w:r w:rsidRPr="0097067A">
            <w:rPr>
              <w:rFonts w:cs="Tahoma"/>
              <w:b/>
              <w:color w:val="4F81BD"/>
              <w:sz w:val="18"/>
              <w:szCs w:val="18"/>
            </w:rPr>
            <w:t xml:space="preserve">E Book – Collana I PRATICI di </w:t>
          </w:r>
          <w:proofErr w:type="spellStart"/>
          <w:r w:rsidRPr="0097067A">
            <w:rPr>
              <w:rFonts w:cs="Tahoma"/>
              <w:b/>
              <w:color w:val="4F81BD"/>
              <w:sz w:val="18"/>
              <w:szCs w:val="18"/>
            </w:rPr>
            <w:t>Fiscoetasse</w:t>
          </w:r>
          <w:proofErr w:type="spellEnd"/>
          <w:r w:rsidRPr="0097067A">
            <w:rPr>
              <w:rFonts w:cs="Tahoma"/>
              <w:b/>
              <w:color w:val="4F81BD"/>
              <w:sz w:val="18"/>
              <w:szCs w:val="18"/>
            </w:rPr>
            <w:t xml:space="preserve">                                                                                                  </w:t>
          </w:r>
          <w:r w:rsidRPr="0097067A">
            <w:rPr>
              <w:rFonts w:cs="Tahoma"/>
              <w:b/>
              <w:color w:val="4F81BD"/>
              <w:sz w:val="18"/>
              <w:szCs w:val="18"/>
            </w:rPr>
            <w:fldChar w:fldCharType="begin"/>
          </w:r>
          <w:r w:rsidRPr="0097067A">
            <w:rPr>
              <w:rFonts w:cs="Tahoma"/>
              <w:b/>
              <w:color w:val="4F81BD"/>
              <w:sz w:val="18"/>
              <w:szCs w:val="18"/>
            </w:rPr>
            <w:instrText xml:space="preserve"> PAGE </w:instrText>
          </w:r>
          <w:r w:rsidRPr="0097067A">
            <w:rPr>
              <w:rFonts w:cs="Tahoma"/>
              <w:b/>
              <w:color w:val="4F81BD"/>
              <w:sz w:val="18"/>
              <w:szCs w:val="18"/>
            </w:rPr>
            <w:fldChar w:fldCharType="separate"/>
          </w:r>
          <w:r w:rsidRPr="0097067A">
            <w:rPr>
              <w:rFonts w:cs="Tahoma"/>
              <w:b/>
              <w:color w:val="4F81BD"/>
              <w:sz w:val="18"/>
              <w:szCs w:val="18"/>
            </w:rPr>
            <w:t>0</w:t>
          </w:r>
          <w:r w:rsidRPr="0097067A">
            <w:rPr>
              <w:rFonts w:cs="Tahoma"/>
              <w:b/>
              <w:color w:val="4F81BD"/>
              <w:sz w:val="18"/>
              <w:szCs w:val="18"/>
            </w:rPr>
            <w:fldChar w:fldCharType="end"/>
          </w:r>
          <w:r w:rsidRPr="0097067A">
            <w:rPr>
              <w:rFonts w:cs="Tahoma"/>
              <w:b/>
              <w:color w:val="4F81BD"/>
              <w:sz w:val="18"/>
              <w:szCs w:val="18"/>
            </w:rPr>
            <w:t xml:space="preserve"> </w:t>
          </w:r>
        </w:p>
      </w:tc>
    </w:tr>
  </w:tbl>
  <w:p w14:paraId="0A3A852C" w14:textId="77777777" w:rsidR="00B15171" w:rsidRDefault="00B1517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DB73" w14:textId="77777777" w:rsidR="00B15171" w:rsidRDefault="00B15171">
    <w:pPr>
      <w:pStyle w:val="Sottotitolo"/>
    </w:pPr>
  </w:p>
  <w:p w14:paraId="6C28BC84" w14:textId="77777777" w:rsidR="00B15171" w:rsidRDefault="00B15171">
    <w:pPr>
      <w:pStyle w:val="Sottotitolo"/>
    </w:pPr>
  </w:p>
  <w:p w14:paraId="71D509D0" w14:textId="77777777" w:rsidR="00B15171" w:rsidRDefault="00B15171">
    <w:pPr>
      <w:pStyle w:val="Sottotitolo"/>
    </w:pPr>
  </w:p>
  <w:p w14:paraId="14E66621" w14:textId="77777777" w:rsidR="00B15171" w:rsidRDefault="00B15171">
    <w:pPr>
      <w:pStyle w:val="Sottotitol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41C0" w14:textId="77777777" w:rsidR="00B15171" w:rsidRDefault="00B151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ABA2D" w14:textId="77777777" w:rsidR="00CD27CA" w:rsidRDefault="00CD27CA" w:rsidP="0094558C">
      <w:r>
        <w:separator/>
      </w:r>
    </w:p>
  </w:footnote>
  <w:footnote w:type="continuationSeparator" w:id="0">
    <w:p w14:paraId="4D486858" w14:textId="77777777" w:rsidR="00CD27CA" w:rsidRDefault="00CD27CA" w:rsidP="0094558C">
      <w:r>
        <w:continuationSeparator/>
      </w:r>
    </w:p>
  </w:footnote>
  <w:footnote w:id="1">
    <w:p w14:paraId="44D8945C" w14:textId="77777777" w:rsidR="00320F6E" w:rsidRPr="00312A65" w:rsidRDefault="00320F6E" w:rsidP="00312A65">
      <w:pPr>
        <w:contextualSpacing/>
        <w:jc w:val="both"/>
        <w:rPr>
          <w:rFonts w:ascii="Tahoma" w:hAnsi="Tahoma" w:cs="Tahoma"/>
          <w:sz w:val="18"/>
          <w:szCs w:val="18"/>
        </w:rPr>
      </w:pPr>
      <w:r w:rsidRPr="00312A65">
        <w:rPr>
          <w:rStyle w:val="Rimandonotaapidipagina"/>
          <w:rFonts w:ascii="Tahoma" w:hAnsi="Tahoma" w:cs="Tahoma"/>
          <w:sz w:val="18"/>
          <w:szCs w:val="18"/>
        </w:rPr>
        <w:footnoteRef/>
      </w:r>
      <w:r w:rsidRPr="00312A65">
        <w:rPr>
          <w:rFonts w:ascii="Tahoma" w:hAnsi="Tahoma" w:cs="Tahoma"/>
          <w:sz w:val="18"/>
          <w:szCs w:val="18"/>
        </w:rPr>
        <w:t xml:space="preserve"> </w:t>
      </w:r>
      <w:r w:rsidRPr="00312A65">
        <w:rPr>
          <w:rFonts w:ascii="Tahoma" w:hAnsi="Tahoma" w:cs="Tahoma"/>
          <w:sz w:val="18"/>
          <w:szCs w:val="18"/>
          <w:shd w:val="clear" w:color="auto" w:fill="FFFFFF"/>
        </w:rPr>
        <w:t>Art. 2484. </w:t>
      </w:r>
      <w:r w:rsidRPr="00312A65">
        <w:rPr>
          <w:rFonts w:ascii="Tahoma" w:hAnsi="Tahoma" w:cs="Tahoma"/>
          <w:sz w:val="18"/>
          <w:szCs w:val="18"/>
        </w:rPr>
        <w:t>Cause di scioglimento</w:t>
      </w:r>
    </w:p>
    <w:p w14:paraId="43C066D0"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Le società per azioni, in accomandita per azioni e a responsabilità limitata si sciolgono:</w:t>
      </w:r>
    </w:p>
    <w:p w14:paraId="473507CA"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1) per il decorso del termine;</w:t>
      </w:r>
    </w:p>
    <w:p w14:paraId="58789C22"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2) per il conseguimento dell'oggetto sociale o per la sopravvenuta impossibilità di conseguirlo, salvo che l'assemblea, all'uopo convocata senza indugio, non deliberi le opportune modifiche statutarie;</w:t>
      </w:r>
    </w:p>
    <w:p w14:paraId="260AB6B2"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 xml:space="preserve">3) per l'impossibilità di funzionamento o per la </w:t>
      </w:r>
      <w:proofErr w:type="spellStart"/>
      <w:r w:rsidRPr="00312A65">
        <w:rPr>
          <w:rFonts w:ascii="Tahoma" w:hAnsi="Tahoma" w:cs="Tahoma"/>
          <w:sz w:val="18"/>
          <w:szCs w:val="18"/>
        </w:rPr>
        <w:t>continuata</w:t>
      </w:r>
      <w:proofErr w:type="spellEnd"/>
      <w:r w:rsidRPr="00312A65">
        <w:rPr>
          <w:rFonts w:ascii="Tahoma" w:hAnsi="Tahoma" w:cs="Tahoma"/>
          <w:sz w:val="18"/>
          <w:szCs w:val="18"/>
        </w:rPr>
        <w:t xml:space="preserve"> inattività dell'assemblea;</w:t>
      </w:r>
    </w:p>
    <w:p w14:paraId="040F8530"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4) per la </w:t>
      </w:r>
      <w:hyperlink r:id="rId1" w:history="1">
        <w:r w:rsidRPr="00312A65">
          <w:rPr>
            <w:rFonts w:ascii="Tahoma" w:hAnsi="Tahoma" w:cs="Tahoma"/>
            <w:sz w:val="18"/>
            <w:szCs w:val="18"/>
          </w:rPr>
          <w:t>riduzione</w:t>
        </w:r>
      </w:hyperlink>
      <w:r w:rsidRPr="00312A65">
        <w:rPr>
          <w:rFonts w:ascii="Tahoma" w:hAnsi="Tahoma" w:cs="Tahoma"/>
          <w:sz w:val="18"/>
          <w:szCs w:val="18"/>
        </w:rPr>
        <w:t> del capitale al disotto del minimo legale, salvo quanto è disposto dagli </w:t>
      </w:r>
      <w:hyperlink r:id="rId2" w:history="1">
        <w:r w:rsidRPr="00312A65">
          <w:rPr>
            <w:rFonts w:ascii="Tahoma" w:hAnsi="Tahoma" w:cs="Tahoma"/>
            <w:sz w:val="18"/>
            <w:szCs w:val="18"/>
          </w:rPr>
          <w:t>articoli</w:t>
        </w:r>
      </w:hyperlink>
      <w:r w:rsidRPr="00312A65">
        <w:rPr>
          <w:rFonts w:ascii="Tahoma" w:hAnsi="Tahoma" w:cs="Tahoma"/>
          <w:sz w:val="18"/>
          <w:szCs w:val="18"/>
        </w:rPr>
        <w:t> 2447 e 2482-ter;</w:t>
      </w:r>
    </w:p>
    <w:p w14:paraId="62753097"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5) nelle </w:t>
      </w:r>
      <w:hyperlink r:id="rId3" w:history="1">
        <w:r w:rsidRPr="00312A65">
          <w:rPr>
            <w:rFonts w:ascii="Tahoma" w:hAnsi="Tahoma" w:cs="Tahoma"/>
            <w:sz w:val="18"/>
            <w:szCs w:val="18"/>
          </w:rPr>
          <w:t>ipotesi</w:t>
        </w:r>
      </w:hyperlink>
      <w:r w:rsidRPr="00312A65">
        <w:rPr>
          <w:rFonts w:ascii="Tahoma" w:hAnsi="Tahoma" w:cs="Tahoma"/>
          <w:sz w:val="18"/>
          <w:szCs w:val="18"/>
        </w:rPr>
        <w:t> previste dagli </w:t>
      </w:r>
      <w:hyperlink r:id="rId4" w:history="1">
        <w:r w:rsidRPr="00312A65">
          <w:rPr>
            <w:rFonts w:ascii="Tahoma" w:hAnsi="Tahoma" w:cs="Tahoma"/>
            <w:sz w:val="18"/>
            <w:szCs w:val="18"/>
          </w:rPr>
          <w:t>articoli</w:t>
        </w:r>
      </w:hyperlink>
      <w:r w:rsidRPr="00312A65">
        <w:rPr>
          <w:rFonts w:ascii="Tahoma" w:hAnsi="Tahoma" w:cs="Tahoma"/>
          <w:sz w:val="18"/>
          <w:szCs w:val="18"/>
        </w:rPr>
        <w:t> 2437-quater e 2473;</w:t>
      </w:r>
    </w:p>
    <w:p w14:paraId="44D60CDD" w14:textId="77777777" w:rsidR="00320F6E" w:rsidRPr="00312A65" w:rsidRDefault="00320F6E" w:rsidP="00312A65">
      <w:pPr>
        <w:ind w:firstLine="150"/>
        <w:contextualSpacing/>
        <w:jc w:val="both"/>
        <w:rPr>
          <w:rFonts w:ascii="Tahoma" w:hAnsi="Tahoma" w:cs="Tahoma"/>
          <w:sz w:val="18"/>
          <w:szCs w:val="18"/>
        </w:rPr>
      </w:pPr>
      <w:r w:rsidRPr="00312A65">
        <w:rPr>
          <w:rFonts w:ascii="Tahoma" w:hAnsi="Tahoma" w:cs="Tahoma"/>
          <w:sz w:val="18"/>
          <w:szCs w:val="18"/>
        </w:rPr>
        <w:t>6) per </w:t>
      </w:r>
      <w:hyperlink r:id="rId5" w:history="1">
        <w:r w:rsidRPr="00312A65">
          <w:rPr>
            <w:rFonts w:ascii="Tahoma" w:hAnsi="Tahoma" w:cs="Tahoma"/>
            <w:sz w:val="18"/>
            <w:szCs w:val="18"/>
          </w:rPr>
          <w:t>deliberazione</w:t>
        </w:r>
      </w:hyperlink>
      <w:r w:rsidRPr="00312A65">
        <w:rPr>
          <w:rFonts w:ascii="Tahoma" w:hAnsi="Tahoma" w:cs="Tahoma"/>
          <w:sz w:val="18"/>
          <w:szCs w:val="18"/>
        </w:rPr>
        <w:t> dell'assemblea;</w:t>
      </w:r>
    </w:p>
    <w:p w14:paraId="5249DAC6" w14:textId="0DA5DCF1" w:rsidR="00320F6E" w:rsidRPr="00312A65" w:rsidRDefault="00320F6E" w:rsidP="00A51657">
      <w:pPr>
        <w:ind w:firstLine="150"/>
        <w:contextualSpacing/>
        <w:jc w:val="both"/>
        <w:rPr>
          <w:rFonts w:ascii="Tahoma" w:hAnsi="Tahoma" w:cs="Tahoma"/>
          <w:sz w:val="18"/>
          <w:szCs w:val="18"/>
        </w:rPr>
      </w:pPr>
      <w:r w:rsidRPr="00312A65">
        <w:rPr>
          <w:rFonts w:ascii="Tahoma" w:hAnsi="Tahoma" w:cs="Tahoma"/>
          <w:sz w:val="18"/>
          <w:szCs w:val="18"/>
        </w:rPr>
        <w:t>7) per le altre cause previste dall'atto </w:t>
      </w:r>
      <w:hyperlink r:id="rId6" w:history="1">
        <w:r w:rsidRPr="00312A65">
          <w:rPr>
            <w:rFonts w:ascii="Tahoma" w:hAnsi="Tahoma" w:cs="Tahoma"/>
            <w:sz w:val="18"/>
            <w:szCs w:val="18"/>
          </w:rPr>
          <w:t>costitutivo</w:t>
        </w:r>
      </w:hyperlink>
      <w:r w:rsidRPr="00312A65">
        <w:rPr>
          <w:rFonts w:ascii="Tahoma" w:hAnsi="Tahoma" w:cs="Tahoma"/>
          <w:sz w:val="18"/>
          <w:szCs w:val="18"/>
        </w:rPr>
        <w:t xml:space="preserve"> o dallo statuto.</w:t>
      </w:r>
    </w:p>
  </w:footnote>
  <w:footnote w:id="2">
    <w:p w14:paraId="79019E7B" w14:textId="7FF24DF6" w:rsidR="00746AA5" w:rsidRPr="00A51657" w:rsidRDefault="00746AA5" w:rsidP="00A51657">
      <w:pPr>
        <w:pStyle w:val="Testonotaapidipagina"/>
        <w:jc w:val="both"/>
        <w:rPr>
          <w:rFonts w:ascii="Tahoma" w:hAnsi="Tahoma" w:cs="Tahoma"/>
          <w:sz w:val="18"/>
          <w:szCs w:val="18"/>
        </w:rPr>
      </w:pPr>
      <w:r>
        <w:rPr>
          <w:rStyle w:val="Rimandonotaapidipagina"/>
        </w:rPr>
        <w:footnoteRef/>
      </w:r>
      <w:r>
        <w:t xml:space="preserve"> </w:t>
      </w:r>
      <w:r w:rsidRPr="00312A65">
        <w:rPr>
          <w:rFonts w:ascii="Tahoma" w:hAnsi="Tahoma" w:cs="Tahoma"/>
          <w:sz w:val="18"/>
          <w:szCs w:val="18"/>
        </w:rPr>
        <w:t xml:space="preserve">Norme di comportamento del Collegio Sindacale di Società non quotate emesse nel </w:t>
      </w:r>
      <w:r>
        <w:rPr>
          <w:rFonts w:ascii="Tahoma" w:hAnsi="Tahoma" w:cs="Tahoma"/>
          <w:sz w:val="18"/>
          <w:szCs w:val="18"/>
        </w:rPr>
        <w:t>dicembre 2023</w:t>
      </w:r>
      <w:r w:rsidRPr="00312A65">
        <w:rPr>
          <w:rFonts w:ascii="Tahoma" w:hAnsi="Tahoma" w:cs="Tahoma"/>
          <w:sz w:val="18"/>
          <w:szCs w:val="18"/>
        </w:rPr>
        <w:t xml:space="preserve"> dal Consiglio Nazionale dei Dottori Commercialisti ed Esperti contabili (Norma 3.5)</w:t>
      </w:r>
    </w:p>
  </w:footnote>
  <w:footnote w:id="3">
    <w:p w14:paraId="12262849" w14:textId="46DFB40B" w:rsidR="00320F6E" w:rsidRPr="00312A65" w:rsidRDefault="00320F6E" w:rsidP="00312A65">
      <w:pPr>
        <w:pStyle w:val="Testonotaapidipagina"/>
        <w:jc w:val="both"/>
        <w:rPr>
          <w:rFonts w:ascii="Tahoma" w:hAnsi="Tahoma" w:cs="Tahoma"/>
          <w:sz w:val="18"/>
          <w:szCs w:val="18"/>
        </w:rPr>
      </w:pPr>
      <w:r w:rsidRPr="00312A65">
        <w:rPr>
          <w:rStyle w:val="Rimandonotaapidipagina"/>
          <w:rFonts w:ascii="Tahoma" w:hAnsi="Tahoma" w:cs="Tahoma"/>
          <w:sz w:val="18"/>
          <w:szCs w:val="18"/>
        </w:rPr>
        <w:footnoteRef/>
      </w:r>
      <w:r w:rsidRPr="00312A65">
        <w:rPr>
          <w:rFonts w:ascii="Tahoma" w:hAnsi="Tahoma" w:cs="Tahoma"/>
          <w:sz w:val="18"/>
          <w:szCs w:val="18"/>
        </w:rPr>
        <w:t xml:space="preserve"> Norme di comportamento del Collegio Sindacale di Società non quotate emesse nel </w:t>
      </w:r>
      <w:r w:rsidR="00746AA5">
        <w:rPr>
          <w:rFonts w:ascii="Tahoma" w:hAnsi="Tahoma" w:cs="Tahoma"/>
          <w:sz w:val="18"/>
          <w:szCs w:val="18"/>
        </w:rPr>
        <w:t>dicembre 2023</w:t>
      </w:r>
      <w:r w:rsidRPr="00312A65">
        <w:rPr>
          <w:rFonts w:ascii="Tahoma" w:hAnsi="Tahoma" w:cs="Tahoma"/>
          <w:sz w:val="18"/>
          <w:szCs w:val="18"/>
        </w:rPr>
        <w:t xml:space="preserve"> dal Consiglio Nazionale dei Dottori Commercialisti ed Esperti contabili (Norma 3.7)</w:t>
      </w:r>
    </w:p>
  </w:footnote>
  <w:footnote w:id="4">
    <w:p w14:paraId="001BCAD6"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Style w:val="Rimandonotaapidipagina"/>
          <w:rFonts w:ascii="Tahoma" w:hAnsi="Tahoma" w:cs="Tahoma"/>
          <w:sz w:val="18"/>
          <w:szCs w:val="18"/>
        </w:rPr>
        <w:footnoteRef/>
      </w:r>
      <w:r w:rsidRPr="00312A65">
        <w:rPr>
          <w:rFonts w:ascii="Tahoma" w:hAnsi="Tahoma" w:cs="Tahoma"/>
          <w:sz w:val="18"/>
          <w:szCs w:val="18"/>
        </w:rPr>
        <w:t xml:space="preserve"> </w:t>
      </w:r>
      <w:r w:rsidRPr="00312A65">
        <w:rPr>
          <w:rFonts w:ascii="Tahoma" w:hAnsi="Tahoma" w:cs="Tahoma"/>
          <w:color w:val="454545"/>
          <w:sz w:val="18"/>
          <w:szCs w:val="18"/>
          <w:shd w:val="clear" w:color="auto" w:fill="FFFFFF"/>
        </w:rPr>
        <w:t>L’espressione “</w:t>
      </w:r>
      <w:r w:rsidRPr="00312A65">
        <w:rPr>
          <w:rStyle w:val="Enfasigrassetto"/>
          <w:rFonts w:ascii="Tahoma" w:hAnsi="Tahoma" w:cs="Tahoma"/>
          <w:b w:val="0"/>
          <w:i/>
          <w:color w:val="454545"/>
          <w:sz w:val="18"/>
          <w:szCs w:val="18"/>
          <w:shd w:val="clear" w:color="auto" w:fill="FFFFFF"/>
        </w:rPr>
        <w:t>capitale diminuito di oltre un terzo</w:t>
      </w:r>
      <w:r w:rsidRPr="00312A65">
        <w:rPr>
          <w:rFonts w:ascii="Tahoma" w:hAnsi="Tahoma" w:cs="Tahoma"/>
          <w:i/>
          <w:color w:val="454545"/>
          <w:sz w:val="18"/>
          <w:szCs w:val="18"/>
          <w:shd w:val="clear" w:color="auto" w:fill="FFFFFF"/>
        </w:rPr>
        <w:t> in conseguenza di perdite</w:t>
      </w:r>
      <w:r w:rsidRPr="00312A65">
        <w:rPr>
          <w:rFonts w:ascii="Tahoma" w:hAnsi="Tahoma" w:cs="Tahoma"/>
          <w:color w:val="454545"/>
          <w:sz w:val="18"/>
          <w:szCs w:val="18"/>
          <w:shd w:val="clear" w:color="auto" w:fill="FFFFFF"/>
        </w:rPr>
        <w:t>”, non comporta che il confronto si operi tra le perdite e il solo capitale sociale. La giurisprudenza e la dottrina concordano che occorra prima confrontare le perdite con tutte le riserve a disposizione. La verifica va quindi eseguita considerando che le perdite incidono sul capitale sociale solo dopo aver eroso tutte le riserve, dapprima le riserva facoltative, poi quelle statutarie, i fondi sovrapprezzo azioni e infine la riserva legale.</w:t>
      </w:r>
    </w:p>
    <w:p w14:paraId="45413262"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 xml:space="preserve">Quindi, le perdite assumono rilevanza solo per la parte che eccede le riserve. </w:t>
      </w:r>
    </w:p>
    <w:p w14:paraId="7136ADBF" w14:textId="77777777" w:rsidR="00320F6E" w:rsidRPr="00312A65" w:rsidRDefault="00320F6E" w:rsidP="00312A65">
      <w:pPr>
        <w:pStyle w:val="Testonotaapidipagina"/>
        <w:jc w:val="both"/>
        <w:rPr>
          <w:rFonts w:ascii="Tahoma" w:hAnsi="Tahoma" w:cs="Tahoma"/>
          <w:color w:val="454545"/>
          <w:sz w:val="18"/>
          <w:szCs w:val="18"/>
          <w:shd w:val="clear" w:color="auto" w:fill="FFFFFF"/>
        </w:rPr>
      </w:pPr>
    </w:p>
    <w:p w14:paraId="59B45FF0"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In una srl:</w:t>
      </w:r>
    </w:p>
    <w:p w14:paraId="77D15539"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Capitale sociale: 20.000</w:t>
      </w:r>
    </w:p>
    <w:p w14:paraId="34BF6026"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legale: 2.000</w:t>
      </w:r>
    </w:p>
    <w:p w14:paraId="2CD84FC6"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statutaria: 10.000</w:t>
      </w:r>
    </w:p>
    <w:p w14:paraId="01791AB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Perdita: 19.000</w:t>
      </w:r>
    </w:p>
    <w:p w14:paraId="1E03031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Prima si assorbono le riserve: 19.000-2.000-10.000 = Perdita residua 7.000</w:t>
      </w:r>
    </w:p>
    <w:p w14:paraId="749AB264"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Capitale sociale 20.000; 1/3 del capitale sociale: 6.666,67.</w:t>
      </w:r>
    </w:p>
    <w:p w14:paraId="6DBAA9A3"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La perdita residua di 7.000 è superiore al terzo del capitale</w:t>
      </w:r>
    </w:p>
    <w:p w14:paraId="123A3000" w14:textId="3A9B3B4B" w:rsidR="00427230"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Al contrario una perdita di</w:t>
      </w:r>
      <w:r w:rsidR="00427230" w:rsidRPr="00312A65">
        <w:rPr>
          <w:rFonts w:ascii="Tahoma" w:hAnsi="Tahoma" w:cs="Tahoma"/>
          <w:color w:val="454545"/>
          <w:sz w:val="18"/>
          <w:szCs w:val="18"/>
          <w:shd w:val="clear" w:color="auto" w:fill="FFFFFF"/>
        </w:rPr>
        <w:t xml:space="preserve"> soli</w:t>
      </w:r>
      <w:r w:rsidRPr="00312A65">
        <w:rPr>
          <w:rFonts w:ascii="Tahoma" w:hAnsi="Tahoma" w:cs="Tahoma"/>
          <w:color w:val="454545"/>
          <w:sz w:val="18"/>
          <w:szCs w:val="18"/>
          <w:shd w:val="clear" w:color="auto" w:fill="FFFFFF"/>
        </w:rPr>
        <w:t xml:space="preserve"> 8.000, che è superiore a 1/3 del capitale sociale, sarebbe interamente assorbita dalle riserve, che sono complessivamente 12.000 e quindi non sarebbe una perdita rilevante.</w:t>
      </w:r>
    </w:p>
    <w:p w14:paraId="6A02C7BC" w14:textId="18C0E198"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Medesimo ragionamento per la perdita che riduce il capitale al di sotto del minimo legale.</w:t>
      </w:r>
    </w:p>
    <w:p w14:paraId="07B56CC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In una spa</w:t>
      </w:r>
    </w:p>
    <w:p w14:paraId="561B2DA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Capitale sociale: 100.000</w:t>
      </w:r>
    </w:p>
    <w:p w14:paraId="6BB3BA02"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legale: 2.000</w:t>
      </w:r>
    </w:p>
    <w:p w14:paraId="68F3C41A"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Riserva statutaria: 10.000</w:t>
      </w:r>
    </w:p>
    <w:p w14:paraId="6AB71081"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Perdita: 65.000</w:t>
      </w:r>
    </w:p>
    <w:p w14:paraId="0C0116C2" w14:textId="77777777" w:rsidR="00320F6E" w:rsidRPr="00312A65" w:rsidRDefault="00320F6E" w:rsidP="00312A65">
      <w:pPr>
        <w:pStyle w:val="Testonotaapidipagina"/>
        <w:jc w:val="both"/>
        <w:rPr>
          <w:rFonts w:ascii="Tahoma" w:hAnsi="Tahoma" w:cs="Tahoma"/>
          <w:color w:val="454545"/>
          <w:sz w:val="18"/>
          <w:szCs w:val="18"/>
          <w:shd w:val="clear" w:color="auto" w:fill="FFFFFF"/>
        </w:rPr>
      </w:pPr>
      <w:r w:rsidRPr="00312A65">
        <w:rPr>
          <w:rFonts w:ascii="Tahoma" w:hAnsi="Tahoma" w:cs="Tahoma"/>
          <w:color w:val="454545"/>
          <w:sz w:val="18"/>
          <w:szCs w:val="18"/>
          <w:shd w:val="clear" w:color="auto" w:fill="FFFFFF"/>
        </w:rPr>
        <w:t>Prima si assorbono le riserve: 65.000-2.000-10.000 = Perdita residua 53.000</w:t>
      </w:r>
    </w:p>
    <w:p w14:paraId="20D2C78D" w14:textId="77777777"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Capitale sociale 100.000: 1/3 del capitale sociale: 33.333,33</w:t>
      </w:r>
    </w:p>
    <w:p w14:paraId="513E331B" w14:textId="77777777"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La perdita residua è superiore al terzo</w:t>
      </w:r>
    </w:p>
    <w:p w14:paraId="33CCB91A" w14:textId="703E7320"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Capitale sociale 100.000 – Perdita residua 53.000 = Capitale sociale residuo 47.000, al di sotto del minimo legale</w:t>
      </w:r>
    </w:p>
    <w:p w14:paraId="4FE5D69D" w14:textId="77777777" w:rsidR="00320F6E" w:rsidRPr="00312A65" w:rsidRDefault="00320F6E" w:rsidP="00312A65">
      <w:pPr>
        <w:pStyle w:val="Testonotaapidipagina"/>
        <w:jc w:val="both"/>
        <w:rPr>
          <w:rFonts w:ascii="Tahoma" w:hAnsi="Tahoma" w:cs="Tahoma"/>
          <w:sz w:val="18"/>
          <w:szCs w:val="18"/>
        </w:rPr>
      </w:pPr>
      <w:r w:rsidRPr="00312A65">
        <w:rPr>
          <w:rFonts w:ascii="Tahoma" w:hAnsi="Tahoma" w:cs="Tahoma"/>
          <w:sz w:val="18"/>
          <w:szCs w:val="18"/>
        </w:rPr>
        <w:t>Invece, una perdita di 35.000, che è superiore a 1/3 del capitale sociale, verrebbe assorbita per 12.000 dalle riserve, ma l’importo residuo di 23.000, porterebbe il capitale a 77.000, che è superiore al minimo legale</w:t>
      </w:r>
    </w:p>
  </w:footnote>
  <w:footnote w:id="5">
    <w:p w14:paraId="35356605" w14:textId="7079807B" w:rsidR="007F39F4" w:rsidRDefault="007F39F4">
      <w:pPr>
        <w:pStyle w:val="Testonotaapidipagina"/>
      </w:pPr>
      <w:r>
        <w:rPr>
          <w:rStyle w:val="Rimandonotaapidipagina"/>
        </w:rPr>
        <w:footnoteRef/>
      </w:r>
      <w:r>
        <w:t xml:space="preserve"> Fino alla data di pubblicazione del presente e book, il coefficiente di maggiorazione non è stato ancora pubblicato. Il coefficiente nell’esempio è quindi </w:t>
      </w:r>
      <w:r w:rsidR="00A816EE">
        <w:t>stimato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7E1DA" w14:textId="4F0CAFA5" w:rsidR="00B15171" w:rsidRDefault="00B15171">
    <w:pPr>
      <w:pStyle w:val="Indice"/>
    </w:pPr>
    <w:r>
      <w:rPr>
        <w:noProof/>
      </w:rPr>
      <mc:AlternateContent>
        <mc:Choice Requires="wps">
          <w:drawing>
            <wp:anchor distT="0" distB="0" distL="114935" distR="114935" simplePos="0" relativeHeight="251661312" behindDoc="0" locked="0" layoutInCell="1" allowOverlap="1" wp14:anchorId="72B88D36" wp14:editId="3E229075">
              <wp:simplePos x="0" y="0"/>
              <wp:positionH relativeFrom="page">
                <wp:posOffset>1033780</wp:posOffset>
              </wp:positionH>
              <wp:positionV relativeFrom="page">
                <wp:posOffset>387350</wp:posOffset>
              </wp:positionV>
              <wp:extent cx="5702300" cy="363220"/>
              <wp:effectExtent l="0" t="0" r="0" b="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363220"/>
                      </a:xfrm>
                      <a:prstGeom prst="rect">
                        <a:avLst/>
                      </a:prstGeom>
                      <a:solidFill>
                        <a:srgbClr val="FFFFFF">
                          <a:alpha val="0"/>
                        </a:srgbClr>
                      </a:solidFill>
                      <a:ln>
                        <a:noFill/>
                      </a:ln>
                    </wps:spPr>
                    <wps:txbx>
                      <w:txbxContent>
                        <w:p w14:paraId="2D0E4223" w14:textId="77777777" w:rsidR="00B15171" w:rsidRDefault="00B15171">
                          <w:pPr>
                            <w:jc w:val="center"/>
                          </w:pPr>
                          <w:r>
                            <w:rPr>
                              <w:rFonts w:ascii="Tahoma" w:eastAsia="Minion Pro" w:hAnsi="Tahoma" w:cs="Tahoma"/>
                              <w:color w:val="BFBFBF"/>
                              <w:spacing w:val="-4"/>
                              <w:position w:val="1"/>
                              <w:sz w:val="18"/>
                              <w:szCs w:val="18"/>
                              <w:u w:val="single"/>
                            </w:rPr>
                            <w:t>ANTONELLA DONATI – IL VADEMECUM DELLA CESSIONE DEI CREDITI EDILIZI</w:t>
                          </w:r>
                        </w:p>
                        <w:p w14:paraId="170BF363" w14:textId="77777777" w:rsidR="00B15171" w:rsidRDefault="00B15171">
                          <w:pPr>
                            <w:pStyle w:val="Intestazione"/>
                            <w:jc w:val="center"/>
                            <w:rPr>
                              <w:color w:val="BFBFBF"/>
                              <w:u w:val="single"/>
                            </w:rPr>
                          </w:pPr>
                        </w:p>
                      </w:txbxContent>
                    </wps:txbx>
                    <wps:bodyPr rot="0" vert="horz" wrap="square" lIns="6985" tIns="6985" rIns="6985" bIns="6985"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2B88D36" id="_x0000_t202" coordsize="21600,21600" o:spt="202" path="m,l,21600r21600,l21600,xe">
              <v:stroke joinstyle="miter"/>
              <v:path gradientshapeok="t" o:connecttype="rect"/>
            </v:shapetype>
            <v:shape id="Casella di testo 9" o:spid="_x0000_s1026" type="#_x0000_t202" style="position:absolute;margin-left:81.4pt;margin-top:30.5pt;width:449pt;height:28.6pt;z-index:251661312;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" stroked="f">
              <v:fill opacity="0"/>
              <v:textbox inset=".55pt,.55pt,.55pt,.55pt">
                <w:txbxContent>
                  <w:p w14:paraId="2D0E4223" w14:textId="77777777" w:rsidR="00B15171" w:rsidRDefault="00B15171">
                    <w:pPr>
                      <w:jc w:val="center"/>
                    </w:pPr>
                    <w:r>
                      <w:rPr>
                        <w:rFonts w:ascii="Tahoma" w:eastAsia="Minion Pro" w:hAnsi="Tahoma" w:cs="Tahoma"/>
                        <w:color w:val="BFBFBF"/>
                        <w:spacing w:val="-4"/>
                        <w:position w:val="1"/>
                        <w:sz w:val="18"/>
                        <w:szCs w:val="18"/>
                        <w:u w:val="single"/>
                      </w:rPr>
                      <w:t>ANTONELLA DONATI – IL VADEMECUM DELLA CESSIONE DEI CREDITI EDILIZI</w:t>
                    </w:r>
                  </w:p>
                  <w:p w14:paraId="170BF363" w14:textId="77777777" w:rsidR="00B15171" w:rsidRDefault="00B15171">
                    <w:pPr>
                      <w:pStyle w:val="Intestazione"/>
                      <w:jc w:val="center"/>
                      <w:rPr>
                        <w:color w:val="BFBFBF"/>
                        <w:u w:val="single"/>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B11A" w14:textId="77777777" w:rsidR="00B15171" w:rsidRDefault="00B1517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0EC8" w14:textId="21640514" w:rsidR="00320F6E" w:rsidRPr="00FB180F" w:rsidRDefault="00B15171">
    <w:pPr>
      <w:pStyle w:val="Intestazione"/>
      <w:rPr>
        <w:i/>
        <w:sz w:val="16"/>
        <w:szCs w:val="16"/>
      </w:rPr>
    </w:pPr>
    <w:r w:rsidRPr="00B15171">
      <w:rPr>
        <w:i/>
        <w:noProof/>
        <w:sz w:val="16"/>
        <w:szCs w:val="16"/>
        <w:lang w:eastAsia="it-IT"/>
      </w:rPr>
      <mc:AlternateContent>
        <mc:Choice Requires="wps">
          <w:drawing>
            <wp:anchor distT="0" distB="0" distL="114935" distR="114935" simplePos="0" relativeHeight="251659264" behindDoc="1" locked="0" layoutInCell="1" allowOverlap="1" wp14:anchorId="152396DA" wp14:editId="115EE0B8">
              <wp:simplePos x="0" y="0"/>
              <wp:positionH relativeFrom="page">
                <wp:posOffset>1033780</wp:posOffset>
              </wp:positionH>
              <wp:positionV relativeFrom="page">
                <wp:posOffset>387350</wp:posOffset>
              </wp:positionV>
              <wp:extent cx="5709285" cy="370205"/>
              <wp:effectExtent l="5080" t="6350" r="635"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D6377" w14:textId="1212F56D" w:rsidR="00B15171" w:rsidRPr="00B21B75" w:rsidRDefault="00B21B75">
                          <w:pPr>
                            <w:pStyle w:val="Intestazione"/>
                            <w:jc w:val="center"/>
                            <w:rPr>
                              <w:color w:val="BFBFBF" w:themeColor="background1" w:themeShade="BF"/>
                              <w:u w:val="single"/>
                            </w:rPr>
                          </w:pPr>
                          <w:r w:rsidRPr="00B21B75">
                            <w:rPr>
                              <w:rFonts w:ascii="Tahoma" w:eastAsia="Minion Pro" w:hAnsi="Tahoma" w:cs="Tahoma"/>
                              <w:color w:val="BFBFBF" w:themeColor="background1" w:themeShade="BF"/>
                              <w:spacing w:val="-4"/>
                              <w:position w:val="1"/>
                              <w:sz w:val="18"/>
                              <w:szCs w:val="18"/>
                              <w:u w:val="single"/>
                            </w:rPr>
                            <w:t>STEFANO PIZZUTELLI – I BILANCI 202</w:t>
                          </w:r>
                          <w:r w:rsidR="002026C0">
                            <w:rPr>
                              <w:rFonts w:ascii="Tahoma" w:eastAsia="Minion Pro" w:hAnsi="Tahoma" w:cs="Tahoma"/>
                              <w:color w:val="BFBFBF" w:themeColor="background1" w:themeShade="BF"/>
                              <w:spacing w:val="-4"/>
                              <w:position w:val="1"/>
                              <w:sz w:val="18"/>
                              <w:szCs w:val="18"/>
                              <w:u w:val="single"/>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52396DA" id="_x0000_t202" coordsize="21600,21600" o:spt="202" path="m,l,21600r21600,l21600,xe">
              <v:stroke joinstyle="miter"/>
              <v:path gradientshapeok="t" o:connecttype="rect"/>
            </v:shapetype>
            <v:shape id="Text Box 1" o:spid="_x0000_s1027" type="#_x0000_t202" style="position:absolute;margin-left:81.4pt;margin-top:30.5pt;width:449.55pt;height:29.15pt;z-index:-25165721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" stroked="f">
              <v:fill opacity="0"/>
              <v:textbox inset="0,0,0,0">
                <w:txbxContent>
                  <w:p w14:paraId="633D6377" w14:textId="1212F56D" w:rsidR="00B15171" w:rsidRPr="00B21B75" w:rsidRDefault="00B21B75">
                    <w:pPr>
                      <w:pStyle w:val="Intestazione"/>
                      <w:jc w:val="center"/>
                      <w:rPr>
                        <w:color w:val="BFBFBF" w:themeColor="background1" w:themeShade="BF"/>
                        <w:u w:val="single"/>
                      </w:rPr>
                    </w:pPr>
                    <w:r w:rsidRPr="00B21B75">
                      <w:rPr>
                        <w:rFonts w:ascii="Tahoma" w:eastAsia="Minion Pro" w:hAnsi="Tahoma" w:cs="Tahoma"/>
                        <w:color w:val="BFBFBF" w:themeColor="background1" w:themeShade="BF"/>
                        <w:spacing w:val="-4"/>
                        <w:position w:val="1"/>
                        <w:sz w:val="18"/>
                        <w:szCs w:val="18"/>
                        <w:u w:val="single"/>
                      </w:rPr>
                      <w:t>STEFANO PIZZUTELLI – I BILANCI 202</w:t>
                    </w:r>
                    <w:r w:rsidR="002026C0">
                      <w:rPr>
                        <w:rFonts w:ascii="Tahoma" w:eastAsia="Minion Pro" w:hAnsi="Tahoma" w:cs="Tahoma"/>
                        <w:color w:val="BFBFBF" w:themeColor="background1" w:themeShade="BF"/>
                        <w:spacing w:val="-4"/>
                        <w:position w:val="1"/>
                        <w:sz w:val="18"/>
                        <w:szCs w:val="18"/>
                        <w:u w:val="single"/>
                      </w:rPr>
                      <w:t>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5B2B0" w14:textId="77777777" w:rsidR="00B15171" w:rsidRDefault="00B151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85AC" w14:textId="77777777" w:rsidR="00B15171" w:rsidRDefault="00B15171">
    <w:pPr>
      <w:pStyle w:val="Indic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4DD6" w14:textId="77777777" w:rsidR="00B15171" w:rsidRDefault="00B1517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6D6D" w14:textId="77777777" w:rsidR="00B15171" w:rsidRDefault="00B1517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2563" w14:textId="77777777" w:rsidR="00B15171" w:rsidRDefault="00B15171">
    <w:pPr>
      <w:pStyle w:val="Indic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A5D0" w14:textId="77777777" w:rsidR="00B15171" w:rsidRDefault="00B1517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3EE2A" w14:textId="77777777" w:rsidR="00B15171" w:rsidRDefault="00B1517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1486" w14:textId="77777777" w:rsidR="00B15171" w:rsidRDefault="00B15171">
    <w:pPr>
      <w:rPr>
        <w:rFonts w:eastAsia="Minion Pro"/>
      </w:rPr>
    </w:pPr>
  </w:p>
  <w:p w14:paraId="38A2051E" w14:textId="77777777" w:rsidR="00B15171" w:rsidRDefault="00B15171">
    <w:pPr>
      <w:rPr>
        <w:rFonts w:eastAsia="Minion Pro"/>
      </w:rPr>
    </w:pPr>
  </w:p>
  <w:p w14:paraId="3AAB0F5D" w14:textId="77777777" w:rsidR="00B15171" w:rsidRDefault="00B15171">
    <w:pPr>
      <w:rPr>
        <w:rFonts w:eastAsia="Minion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AE8"/>
    <w:multiLevelType w:val="hybridMultilevel"/>
    <w:tmpl w:val="70CEF1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9D7852"/>
    <w:multiLevelType w:val="hybridMultilevel"/>
    <w:tmpl w:val="5D12EB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8D1165"/>
    <w:multiLevelType w:val="hybridMultilevel"/>
    <w:tmpl w:val="9364D15A"/>
    <w:lvl w:ilvl="0" w:tplc="8CCE4956">
      <w:start w:val="1"/>
      <w:numFmt w:val="decimal"/>
      <w:lvlText w:val="%1)"/>
      <w:lvlJc w:val="left"/>
      <w:pPr>
        <w:ind w:left="720" w:hanging="360"/>
      </w:pPr>
      <w:rPr>
        <w:rFonts w:eastAsia="Calibri" w:hint="default"/>
      </w:rPr>
    </w:lvl>
    <w:lvl w:ilvl="1" w:tplc="DF264218">
      <w:numFmt w:val="bullet"/>
      <w:lvlText w:val=""/>
      <w:lvlJc w:val="left"/>
      <w:pPr>
        <w:ind w:left="1440" w:hanging="360"/>
      </w:pPr>
      <w:rPr>
        <w:rFonts w:ascii="Wingdings" w:eastAsia="Times New Roman" w:hAnsi="Wingdings" w:cs="Times New Roman" w:hint="default"/>
      </w:rPr>
    </w:lvl>
    <w:lvl w:ilvl="2" w:tplc="BC721522">
      <w:start w:val="1"/>
      <w:numFmt w:val="lowerLetter"/>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E42C62"/>
    <w:multiLevelType w:val="hybridMultilevel"/>
    <w:tmpl w:val="ACAE23F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85B51"/>
    <w:multiLevelType w:val="hybridMultilevel"/>
    <w:tmpl w:val="383E209C"/>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FF1C37"/>
    <w:multiLevelType w:val="hybridMultilevel"/>
    <w:tmpl w:val="3228A594"/>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9C0556"/>
    <w:multiLevelType w:val="hybridMultilevel"/>
    <w:tmpl w:val="3B766604"/>
    <w:lvl w:ilvl="0" w:tplc="04100001">
      <w:start w:val="1"/>
      <w:numFmt w:val="bullet"/>
      <w:lvlText w:val=""/>
      <w:lvlJc w:val="left"/>
      <w:pPr>
        <w:ind w:left="720" w:hanging="360"/>
      </w:pPr>
      <w:rPr>
        <w:rFonts w:ascii="Symbol" w:hAnsi="Symbol" w:hint="default"/>
        <w:b w:val="0"/>
        <w:bCs/>
        <w:i w:val="0"/>
        <w:caps w:val="0"/>
        <w:strike w:val="0"/>
        <w:dstrike w:val="0"/>
        <w:color w:val="000000"/>
        <w:position w:val="0"/>
        <w:sz w:val="20"/>
        <w:szCs w:val="26"/>
        <w:u w:val="none" w:color="00000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D13C18"/>
    <w:multiLevelType w:val="hybridMultilevel"/>
    <w:tmpl w:val="963CF876"/>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D48689B"/>
    <w:multiLevelType w:val="hybridMultilevel"/>
    <w:tmpl w:val="84ECC0A2"/>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EE7ABF"/>
    <w:multiLevelType w:val="hybridMultilevel"/>
    <w:tmpl w:val="933843A0"/>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1C74A3C"/>
    <w:multiLevelType w:val="hybridMultilevel"/>
    <w:tmpl w:val="2A740ACC"/>
    <w:lvl w:ilvl="0" w:tplc="04100001">
      <w:start w:val="1"/>
      <w:numFmt w:val="bullet"/>
      <w:lvlText w:val=""/>
      <w:lvlJc w:val="left"/>
      <w:pPr>
        <w:tabs>
          <w:tab w:val="num" w:pos="720"/>
        </w:tabs>
        <w:ind w:left="720" w:hanging="360"/>
      </w:pPr>
      <w:rPr>
        <w:rFonts w:ascii="Symbol" w:hAnsi="Symbol" w:hint="default"/>
      </w:rPr>
    </w:lvl>
    <w:lvl w:ilvl="1" w:tplc="D1A44154" w:tentative="1">
      <w:start w:val="1"/>
      <w:numFmt w:val="bullet"/>
      <w:lvlText w:val="•"/>
      <w:lvlJc w:val="left"/>
      <w:pPr>
        <w:tabs>
          <w:tab w:val="num" w:pos="1440"/>
        </w:tabs>
        <w:ind w:left="1440" w:hanging="360"/>
      </w:pPr>
      <w:rPr>
        <w:rFonts w:ascii="Arial" w:hAnsi="Arial" w:hint="default"/>
      </w:rPr>
    </w:lvl>
    <w:lvl w:ilvl="2" w:tplc="C2B4F5D0" w:tentative="1">
      <w:start w:val="1"/>
      <w:numFmt w:val="bullet"/>
      <w:lvlText w:val="•"/>
      <w:lvlJc w:val="left"/>
      <w:pPr>
        <w:tabs>
          <w:tab w:val="num" w:pos="2160"/>
        </w:tabs>
        <w:ind w:left="2160" w:hanging="360"/>
      </w:pPr>
      <w:rPr>
        <w:rFonts w:ascii="Arial" w:hAnsi="Arial" w:hint="default"/>
      </w:rPr>
    </w:lvl>
    <w:lvl w:ilvl="3" w:tplc="B8B0ABC0" w:tentative="1">
      <w:start w:val="1"/>
      <w:numFmt w:val="bullet"/>
      <w:lvlText w:val="•"/>
      <w:lvlJc w:val="left"/>
      <w:pPr>
        <w:tabs>
          <w:tab w:val="num" w:pos="2880"/>
        </w:tabs>
        <w:ind w:left="2880" w:hanging="360"/>
      </w:pPr>
      <w:rPr>
        <w:rFonts w:ascii="Arial" w:hAnsi="Arial" w:hint="default"/>
      </w:rPr>
    </w:lvl>
    <w:lvl w:ilvl="4" w:tplc="577EE1CC" w:tentative="1">
      <w:start w:val="1"/>
      <w:numFmt w:val="bullet"/>
      <w:lvlText w:val="•"/>
      <w:lvlJc w:val="left"/>
      <w:pPr>
        <w:tabs>
          <w:tab w:val="num" w:pos="3600"/>
        </w:tabs>
        <w:ind w:left="3600" w:hanging="360"/>
      </w:pPr>
      <w:rPr>
        <w:rFonts w:ascii="Arial" w:hAnsi="Arial" w:hint="default"/>
      </w:rPr>
    </w:lvl>
    <w:lvl w:ilvl="5" w:tplc="D26E5FA0" w:tentative="1">
      <w:start w:val="1"/>
      <w:numFmt w:val="bullet"/>
      <w:lvlText w:val="•"/>
      <w:lvlJc w:val="left"/>
      <w:pPr>
        <w:tabs>
          <w:tab w:val="num" w:pos="4320"/>
        </w:tabs>
        <w:ind w:left="4320" w:hanging="360"/>
      </w:pPr>
      <w:rPr>
        <w:rFonts w:ascii="Arial" w:hAnsi="Arial" w:hint="default"/>
      </w:rPr>
    </w:lvl>
    <w:lvl w:ilvl="6" w:tplc="00BEC4F8" w:tentative="1">
      <w:start w:val="1"/>
      <w:numFmt w:val="bullet"/>
      <w:lvlText w:val="•"/>
      <w:lvlJc w:val="left"/>
      <w:pPr>
        <w:tabs>
          <w:tab w:val="num" w:pos="5040"/>
        </w:tabs>
        <w:ind w:left="5040" w:hanging="360"/>
      </w:pPr>
      <w:rPr>
        <w:rFonts w:ascii="Arial" w:hAnsi="Arial" w:hint="default"/>
      </w:rPr>
    </w:lvl>
    <w:lvl w:ilvl="7" w:tplc="DAD6E488" w:tentative="1">
      <w:start w:val="1"/>
      <w:numFmt w:val="bullet"/>
      <w:lvlText w:val="•"/>
      <w:lvlJc w:val="left"/>
      <w:pPr>
        <w:tabs>
          <w:tab w:val="num" w:pos="5760"/>
        </w:tabs>
        <w:ind w:left="5760" w:hanging="360"/>
      </w:pPr>
      <w:rPr>
        <w:rFonts w:ascii="Arial" w:hAnsi="Arial" w:hint="default"/>
      </w:rPr>
    </w:lvl>
    <w:lvl w:ilvl="8" w:tplc="ED7C57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F00F8C"/>
    <w:multiLevelType w:val="hybridMultilevel"/>
    <w:tmpl w:val="E634F662"/>
    <w:lvl w:ilvl="0" w:tplc="2368D436">
      <w:numFmt w:val="bullet"/>
      <w:lvlText w:val="•"/>
      <w:lvlJc w:val="left"/>
      <w:pPr>
        <w:ind w:left="1068" w:hanging="708"/>
      </w:pPr>
      <w:rPr>
        <w:rFonts w:hint="default"/>
        <w:w w:val="100"/>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4586037"/>
    <w:multiLevelType w:val="hybridMultilevel"/>
    <w:tmpl w:val="C32AC02E"/>
    <w:lvl w:ilvl="0" w:tplc="2368D436">
      <w:numFmt w:val="bullet"/>
      <w:lvlText w:val="•"/>
      <w:lvlJc w:val="left"/>
      <w:pPr>
        <w:ind w:left="1080" w:hanging="360"/>
      </w:pPr>
      <w:rPr>
        <w:rFonts w:hint="default"/>
        <w:w w:val="100"/>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6465482"/>
    <w:multiLevelType w:val="hybridMultilevel"/>
    <w:tmpl w:val="6EBA6B68"/>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ACF4807"/>
    <w:multiLevelType w:val="hybridMultilevel"/>
    <w:tmpl w:val="CCE4FC54"/>
    <w:lvl w:ilvl="0" w:tplc="E2A67972">
      <w:start w:val="1"/>
      <w:numFmt w:val="bullet"/>
      <w:lvlText w:val=""/>
      <w:lvlJc w:val="left"/>
      <w:pPr>
        <w:tabs>
          <w:tab w:val="num" w:pos="720"/>
        </w:tabs>
        <w:ind w:left="720" w:hanging="360"/>
      </w:pPr>
      <w:rPr>
        <w:rFonts w:ascii="Wingdings 2" w:hAnsi="Wingdings 2" w:hint="default"/>
      </w:rPr>
    </w:lvl>
    <w:lvl w:ilvl="1" w:tplc="8A2053D4" w:tentative="1">
      <w:start w:val="1"/>
      <w:numFmt w:val="bullet"/>
      <w:lvlText w:val=""/>
      <w:lvlJc w:val="left"/>
      <w:pPr>
        <w:tabs>
          <w:tab w:val="num" w:pos="1440"/>
        </w:tabs>
        <w:ind w:left="1440" w:hanging="360"/>
      </w:pPr>
      <w:rPr>
        <w:rFonts w:ascii="Wingdings 2" w:hAnsi="Wingdings 2" w:hint="default"/>
      </w:rPr>
    </w:lvl>
    <w:lvl w:ilvl="2" w:tplc="580AD996" w:tentative="1">
      <w:start w:val="1"/>
      <w:numFmt w:val="bullet"/>
      <w:lvlText w:val=""/>
      <w:lvlJc w:val="left"/>
      <w:pPr>
        <w:tabs>
          <w:tab w:val="num" w:pos="2160"/>
        </w:tabs>
        <w:ind w:left="2160" w:hanging="360"/>
      </w:pPr>
      <w:rPr>
        <w:rFonts w:ascii="Wingdings 2" w:hAnsi="Wingdings 2" w:hint="default"/>
      </w:rPr>
    </w:lvl>
    <w:lvl w:ilvl="3" w:tplc="D6A65332" w:tentative="1">
      <w:start w:val="1"/>
      <w:numFmt w:val="bullet"/>
      <w:lvlText w:val=""/>
      <w:lvlJc w:val="left"/>
      <w:pPr>
        <w:tabs>
          <w:tab w:val="num" w:pos="2880"/>
        </w:tabs>
        <w:ind w:left="2880" w:hanging="360"/>
      </w:pPr>
      <w:rPr>
        <w:rFonts w:ascii="Wingdings 2" w:hAnsi="Wingdings 2" w:hint="default"/>
      </w:rPr>
    </w:lvl>
    <w:lvl w:ilvl="4" w:tplc="0630DFEA" w:tentative="1">
      <w:start w:val="1"/>
      <w:numFmt w:val="bullet"/>
      <w:lvlText w:val=""/>
      <w:lvlJc w:val="left"/>
      <w:pPr>
        <w:tabs>
          <w:tab w:val="num" w:pos="3600"/>
        </w:tabs>
        <w:ind w:left="3600" w:hanging="360"/>
      </w:pPr>
      <w:rPr>
        <w:rFonts w:ascii="Wingdings 2" w:hAnsi="Wingdings 2" w:hint="default"/>
      </w:rPr>
    </w:lvl>
    <w:lvl w:ilvl="5" w:tplc="AF7A831E" w:tentative="1">
      <w:start w:val="1"/>
      <w:numFmt w:val="bullet"/>
      <w:lvlText w:val=""/>
      <w:lvlJc w:val="left"/>
      <w:pPr>
        <w:tabs>
          <w:tab w:val="num" w:pos="4320"/>
        </w:tabs>
        <w:ind w:left="4320" w:hanging="360"/>
      </w:pPr>
      <w:rPr>
        <w:rFonts w:ascii="Wingdings 2" w:hAnsi="Wingdings 2" w:hint="default"/>
      </w:rPr>
    </w:lvl>
    <w:lvl w:ilvl="6" w:tplc="A0D47E70" w:tentative="1">
      <w:start w:val="1"/>
      <w:numFmt w:val="bullet"/>
      <w:lvlText w:val=""/>
      <w:lvlJc w:val="left"/>
      <w:pPr>
        <w:tabs>
          <w:tab w:val="num" w:pos="5040"/>
        </w:tabs>
        <w:ind w:left="5040" w:hanging="360"/>
      </w:pPr>
      <w:rPr>
        <w:rFonts w:ascii="Wingdings 2" w:hAnsi="Wingdings 2" w:hint="default"/>
      </w:rPr>
    </w:lvl>
    <w:lvl w:ilvl="7" w:tplc="1CBCCC3A" w:tentative="1">
      <w:start w:val="1"/>
      <w:numFmt w:val="bullet"/>
      <w:lvlText w:val=""/>
      <w:lvlJc w:val="left"/>
      <w:pPr>
        <w:tabs>
          <w:tab w:val="num" w:pos="5760"/>
        </w:tabs>
        <w:ind w:left="5760" w:hanging="360"/>
      </w:pPr>
      <w:rPr>
        <w:rFonts w:ascii="Wingdings 2" w:hAnsi="Wingdings 2" w:hint="default"/>
      </w:rPr>
    </w:lvl>
    <w:lvl w:ilvl="8" w:tplc="55144F6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C001424"/>
    <w:multiLevelType w:val="hybridMultilevel"/>
    <w:tmpl w:val="D1EC0A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2745C2"/>
    <w:multiLevelType w:val="hybridMultilevel"/>
    <w:tmpl w:val="1E96EB30"/>
    <w:lvl w:ilvl="0" w:tplc="D318C7E4">
      <w:start w:val="1"/>
      <w:numFmt w:val="bullet"/>
      <w:lvlText w:val=""/>
      <w:lvlJc w:val="left"/>
      <w:pPr>
        <w:tabs>
          <w:tab w:val="num" w:pos="720"/>
        </w:tabs>
        <w:ind w:left="720" w:hanging="360"/>
      </w:pPr>
      <w:rPr>
        <w:rFonts w:ascii="Wingdings 2" w:hAnsi="Wingdings 2" w:hint="default"/>
      </w:rPr>
    </w:lvl>
    <w:lvl w:ilvl="1" w:tplc="122C84E6">
      <w:numFmt w:val="bullet"/>
      <w:lvlText w:val="-"/>
      <w:lvlJc w:val="left"/>
      <w:pPr>
        <w:ind w:left="1440" w:hanging="360"/>
      </w:pPr>
      <w:rPr>
        <w:rFonts w:ascii="Tahoma" w:eastAsia="Times New Roman" w:hAnsi="Tahoma" w:cs="Tahoma" w:hint="default"/>
      </w:rPr>
    </w:lvl>
    <w:lvl w:ilvl="2" w:tplc="094CFA06" w:tentative="1">
      <w:start w:val="1"/>
      <w:numFmt w:val="bullet"/>
      <w:lvlText w:val=""/>
      <w:lvlJc w:val="left"/>
      <w:pPr>
        <w:tabs>
          <w:tab w:val="num" w:pos="2160"/>
        </w:tabs>
        <w:ind w:left="2160" w:hanging="360"/>
      </w:pPr>
      <w:rPr>
        <w:rFonts w:ascii="Wingdings 2" w:hAnsi="Wingdings 2" w:hint="default"/>
      </w:rPr>
    </w:lvl>
    <w:lvl w:ilvl="3" w:tplc="4016DA7C" w:tentative="1">
      <w:start w:val="1"/>
      <w:numFmt w:val="bullet"/>
      <w:lvlText w:val=""/>
      <w:lvlJc w:val="left"/>
      <w:pPr>
        <w:tabs>
          <w:tab w:val="num" w:pos="2880"/>
        </w:tabs>
        <w:ind w:left="2880" w:hanging="360"/>
      </w:pPr>
      <w:rPr>
        <w:rFonts w:ascii="Wingdings 2" w:hAnsi="Wingdings 2" w:hint="default"/>
      </w:rPr>
    </w:lvl>
    <w:lvl w:ilvl="4" w:tplc="438825E8" w:tentative="1">
      <w:start w:val="1"/>
      <w:numFmt w:val="bullet"/>
      <w:lvlText w:val=""/>
      <w:lvlJc w:val="left"/>
      <w:pPr>
        <w:tabs>
          <w:tab w:val="num" w:pos="3600"/>
        </w:tabs>
        <w:ind w:left="3600" w:hanging="360"/>
      </w:pPr>
      <w:rPr>
        <w:rFonts w:ascii="Wingdings 2" w:hAnsi="Wingdings 2" w:hint="default"/>
      </w:rPr>
    </w:lvl>
    <w:lvl w:ilvl="5" w:tplc="A4E6A452" w:tentative="1">
      <w:start w:val="1"/>
      <w:numFmt w:val="bullet"/>
      <w:lvlText w:val=""/>
      <w:lvlJc w:val="left"/>
      <w:pPr>
        <w:tabs>
          <w:tab w:val="num" w:pos="4320"/>
        </w:tabs>
        <w:ind w:left="4320" w:hanging="360"/>
      </w:pPr>
      <w:rPr>
        <w:rFonts w:ascii="Wingdings 2" w:hAnsi="Wingdings 2" w:hint="default"/>
      </w:rPr>
    </w:lvl>
    <w:lvl w:ilvl="6" w:tplc="73142C72" w:tentative="1">
      <w:start w:val="1"/>
      <w:numFmt w:val="bullet"/>
      <w:lvlText w:val=""/>
      <w:lvlJc w:val="left"/>
      <w:pPr>
        <w:tabs>
          <w:tab w:val="num" w:pos="5040"/>
        </w:tabs>
        <w:ind w:left="5040" w:hanging="360"/>
      </w:pPr>
      <w:rPr>
        <w:rFonts w:ascii="Wingdings 2" w:hAnsi="Wingdings 2" w:hint="default"/>
      </w:rPr>
    </w:lvl>
    <w:lvl w:ilvl="7" w:tplc="649E6BE4" w:tentative="1">
      <w:start w:val="1"/>
      <w:numFmt w:val="bullet"/>
      <w:lvlText w:val=""/>
      <w:lvlJc w:val="left"/>
      <w:pPr>
        <w:tabs>
          <w:tab w:val="num" w:pos="5760"/>
        </w:tabs>
        <w:ind w:left="5760" w:hanging="360"/>
      </w:pPr>
      <w:rPr>
        <w:rFonts w:ascii="Wingdings 2" w:hAnsi="Wingdings 2" w:hint="default"/>
      </w:rPr>
    </w:lvl>
    <w:lvl w:ilvl="8" w:tplc="9E082CB4"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2EF0497"/>
    <w:multiLevelType w:val="hybridMultilevel"/>
    <w:tmpl w:val="667403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 w15:restartNumberingAfterBreak="0">
    <w:nsid w:val="45AF175A"/>
    <w:multiLevelType w:val="hybridMultilevel"/>
    <w:tmpl w:val="F740F520"/>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811096E"/>
    <w:multiLevelType w:val="hybridMultilevel"/>
    <w:tmpl w:val="7442A412"/>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32145E"/>
    <w:multiLevelType w:val="hybridMultilevel"/>
    <w:tmpl w:val="3F0E6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C75CEF"/>
    <w:multiLevelType w:val="hybridMultilevel"/>
    <w:tmpl w:val="2C541A5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2" w15:restartNumberingAfterBreak="0">
    <w:nsid w:val="503248D5"/>
    <w:multiLevelType w:val="hybridMultilevel"/>
    <w:tmpl w:val="A008CDB6"/>
    <w:lvl w:ilvl="0" w:tplc="2368D436">
      <w:numFmt w:val="bullet"/>
      <w:lvlText w:val="•"/>
      <w:lvlJc w:val="left"/>
      <w:pPr>
        <w:ind w:left="1080" w:hanging="360"/>
      </w:pPr>
      <w:rPr>
        <w:rFonts w:hint="default"/>
        <w:w w:val="100"/>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3" w15:restartNumberingAfterBreak="0">
    <w:nsid w:val="543D77D5"/>
    <w:multiLevelType w:val="hybridMultilevel"/>
    <w:tmpl w:val="29F4CC0A"/>
    <w:lvl w:ilvl="0" w:tplc="04100001">
      <w:start w:val="1"/>
      <w:numFmt w:val="bullet"/>
      <w:lvlText w:val=""/>
      <w:lvlJc w:val="left"/>
      <w:pPr>
        <w:tabs>
          <w:tab w:val="num" w:pos="720"/>
        </w:tabs>
        <w:ind w:left="720" w:hanging="360"/>
      </w:pPr>
      <w:rPr>
        <w:rFonts w:ascii="Symbol" w:hAnsi="Symbol" w:hint="default"/>
      </w:rPr>
    </w:lvl>
    <w:lvl w:ilvl="1" w:tplc="759EBD16" w:tentative="1">
      <w:start w:val="1"/>
      <w:numFmt w:val="bullet"/>
      <w:lvlText w:val="•"/>
      <w:lvlJc w:val="left"/>
      <w:pPr>
        <w:tabs>
          <w:tab w:val="num" w:pos="1440"/>
        </w:tabs>
        <w:ind w:left="1440" w:hanging="360"/>
      </w:pPr>
      <w:rPr>
        <w:rFonts w:ascii="Arial" w:hAnsi="Arial" w:hint="default"/>
      </w:rPr>
    </w:lvl>
    <w:lvl w:ilvl="2" w:tplc="AB58DE94" w:tentative="1">
      <w:start w:val="1"/>
      <w:numFmt w:val="bullet"/>
      <w:lvlText w:val="•"/>
      <w:lvlJc w:val="left"/>
      <w:pPr>
        <w:tabs>
          <w:tab w:val="num" w:pos="2160"/>
        </w:tabs>
        <w:ind w:left="2160" w:hanging="360"/>
      </w:pPr>
      <w:rPr>
        <w:rFonts w:ascii="Arial" w:hAnsi="Arial" w:hint="default"/>
      </w:rPr>
    </w:lvl>
    <w:lvl w:ilvl="3" w:tplc="92D0BC80" w:tentative="1">
      <w:start w:val="1"/>
      <w:numFmt w:val="bullet"/>
      <w:lvlText w:val="•"/>
      <w:lvlJc w:val="left"/>
      <w:pPr>
        <w:tabs>
          <w:tab w:val="num" w:pos="2880"/>
        </w:tabs>
        <w:ind w:left="2880" w:hanging="360"/>
      </w:pPr>
      <w:rPr>
        <w:rFonts w:ascii="Arial" w:hAnsi="Arial" w:hint="default"/>
      </w:rPr>
    </w:lvl>
    <w:lvl w:ilvl="4" w:tplc="32D21686" w:tentative="1">
      <w:start w:val="1"/>
      <w:numFmt w:val="bullet"/>
      <w:lvlText w:val="•"/>
      <w:lvlJc w:val="left"/>
      <w:pPr>
        <w:tabs>
          <w:tab w:val="num" w:pos="3600"/>
        </w:tabs>
        <w:ind w:left="3600" w:hanging="360"/>
      </w:pPr>
      <w:rPr>
        <w:rFonts w:ascii="Arial" w:hAnsi="Arial" w:hint="default"/>
      </w:rPr>
    </w:lvl>
    <w:lvl w:ilvl="5" w:tplc="91ACED46" w:tentative="1">
      <w:start w:val="1"/>
      <w:numFmt w:val="bullet"/>
      <w:lvlText w:val="•"/>
      <w:lvlJc w:val="left"/>
      <w:pPr>
        <w:tabs>
          <w:tab w:val="num" w:pos="4320"/>
        </w:tabs>
        <w:ind w:left="4320" w:hanging="360"/>
      </w:pPr>
      <w:rPr>
        <w:rFonts w:ascii="Arial" w:hAnsi="Arial" w:hint="default"/>
      </w:rPr>
    </w:lvl>
    <w:lvl w:ilvl="6" w:tplc="13CA87CC" w:tentative="1">
      <w:start w:val="1"/>
      <w:numFmt w:val="bullet"/>
      <w:lvlText w:val="•"/>
      <w:lvlJc w:val="left"/>
      <w:pPr>
        <w:tabs>
          <w:tab w:val="num" w:pos="5040"/>
        </w:tabs>
        <w:ind w:left="5040" w:hanging="360"/>
      </w:pPr>
      <w:rPr>
        <w:rFonts w:ascii="Arial" w:hAnsi="Arial" w:hint="default"/>
      </w:rPr>
    </w:lvl>
    <w:lvl w:ilvl="7" w:tplc="2746FAC4" w:tentative="1">
      <w:start w:val="1"/>
      <w:numFmt w:val="bullet"/>
      <w:lvlText w:val="•"/>
      <w:lvlJc w:val="left"/>
      <w:pPr>
        <w:tabs>
          <w:tab w:val="num" w:pos="5760"/>
        </w:tabs>
        <w:ind w:left="5760" w:hanging="360"/>
      </w:pPr>
      <w:rPr>
        <w:rFonts w:ascii="Arial" w:hAnsi="Arial" w:hint="default"/>
      </w:rPr>
    </w:lvl>
    <w:lvl w:ilvl="8" w:tplc="F886CA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C04A1A"/>
    <w:multiLevelType w:val="hybridMultilevel"/>
    <w:tmpl w:val="F822DDB0"/>
    <w:lvl w:ilvl="0" w:tplc="2368D436">
      <w:numFmt w:val="bullet"/>
      <w:lvlText w:val="•"/>
      <w:lvlJc w:val="left"/>
      <w:pPr>
        <w:ind w:left="1080" w:hanging="360"/>
      </w:pPr>
      <w:rPr>
        <w:rFonts w:hint="default"/>
        <w:w w:val="100"/>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57EF26E8"/>
    <w:multiLevelType w:val="hybridMultilevel"/>
    <w:tmpl w:val="82FC83C0"/>
    <w:lvl w:ilvl="0" w:tplc="090EB6F0">
      <w:numFmt w:val="bullet"/>
      <w:lvlText w:val="•"/>
      <w:lvlJc w:val="left"/>
      <w:pPr>
        <w:ind w:left="720" w:hanging="360"/>
      </w:pPr>
      <w:rPr>
        <w:rFonts w:ascii="Bookman Old Style" w:hAnsi="Bookman Old Style" w:cs="Times New Roman" w:hint="default"/>
        <w:b w:val="0"/>
        <w:bCs/>
        <w:i w:val="0"/>
        <w:caps w:val="0"/>
        <w:strike w:val="0"/>
        <w:dstrike w:val="0"/>
        <w:color w:val="000000"/>
        <w:position w:val="0"/>
        <w:sz w:val="20"/>
        <w:szCs w:val="26"/>
        <w:u w:val="none" w:color="00000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230FAA"/>
    <w:multiLevelType w:val="hybridMultilevel"/>
    <w:tmpl w:val="62165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8A86764"/>
    <w:multiLevelType w:val="hybridMultilevel"/>
    <w:tmpl w:val="39528C28"/>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564596"/>
    <w:multiLevelType w:val="hybridMultilevel"/>
    <w:tmpl w:val="BF5499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6730ED0"/>
    <w:multiLevelType w:val="hybridMultilevel"/>
    <w:tmpl w:val="B59CC1B4"/>
    <w:lvl w:ilvl="0" w:tplc="FFFFFFFF">
      <w:start w:val="1"/>
      <w:numFmt w:val="bullet"/>
      <w:lvlText w:val=""/>
      <w:lvlJc w:val="left"/>
      <w:pPr>
        <w:tabs>
          <w:tab w:val="num" w:pos="720"/>
        </w:tabs>
        <w:ind w:left="720" w:hanging="360"/>
      </w:pPr>
      <w:rPr>
        <w:rFonts w:ascii="Wingdings 2" w:hAnsi="Wingdings 2" w:hint="default"/>
      </w:rPr>
    </w:lvl>
    <w:lvl w:ilvl="1" w:tplc="0410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2" w:hAnsi="Wingdings 2" w:hint="default"/>
      </w:rPr>
    </w:lvl>
    <w:lvl w:ilvl="3" w:tplc="FFFFFFFF" w:tentative="1">
      <w:start w:val="1"/>
      <w:numFmt w:val="bullet"/>
      <w:lvlText w:val=""/>
      <w:lvlJc w:val="left"/>
      <w:pPr>
        <w:tabs>
          <w:tab w:val="num" w:pos="2880"/>
        </w:tabs>
        <w:ind w:left="2880" w:hanging="360"/>
      </w:pPr>
      <w:rPr>
        <w:rFonts w:ascii="Wingdings 2" w:hAnsi="Wingdings 2" w:hint="default"/>
      </w:rPr>
    </w:lvl>
    <w:lvl w:ilvl="4" w:tplc="FFFFFFFF" w:tentative="1">
      <w:start w:val="1"/>
      <w:numFmt w:val="bullet"/>
      <w:lvlText w:val=""/>
      <w:lvlJc w:val="left"/>
      <w:pPr>
        <w:tabs>
          <w:tab w:val="num" w:pos="3600"/>
        </w:tabs>
        <w:ind w:left="3600" w:hanging="360"/>
      </w:pPr>
      <w:rPr>
        <w:rFonts w:ascii="Wingdings 2" w:hAnsi="Wingdings 2"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6D6F0D5D"/>
    <w:multiLevelType w:val="hybridMultilevel"/>
    <w:tmpl w:val="1076FBC2"/>
    <w:lvl w:ilvl="0" w:tplc="090EB6F0">
      <w:numFmt w:val="bullet"/>
      <w:lvlText w:val="•"/>
      <w:lvlJc w:val="left"/>
      <w:pPr>
        <w:tabs>
          <w:tab w:val="num" w:pos="720"/>
        </w:tabs>
        <w:ind w:left="720" w:hanging="360"/>
      </w:pPr>
      <w:rPr>
        <w:rFonts w:ascii="Bookman Old Style" w:hAnsi="Bookman Old Style" w:cs="Times New Roman" w:hint="default"/>
        <w:b w:val="0"/>
        <w:bCs/>
        <w:i w:val="0"/>
        <w:caps w:val="0"/>
        <w:strike w:val="0"/>
        <w:dstrike w:val="0"/>
        <w:color w:val="000000"/>
        <w:position w:val="0"/>
        <w:sz w:val="20"/>
        <w:szCs w:val="26"/>
        <w:u w:val="none" w:color="000000"/>
        <w:vertAlign w:val="baseline"/>
      </w:rPr>
    </w:lvl>
    <w:lvl w:ilvl="1" w:tplc="046A9440" w:tentative="1">
      <w:start w:val="1"/>
      <w:numFmt w:val="bullet"/>
      <w:lvlText w:val="•"/>
      <w:lvlJc w:val="left"/>
      <w:pPr>
        <w:tabs>
          <w:tab w:val="num" w:pos="1440"/>
        </w:tabs>
        <w:ind w:left="1440" w:hanging="360"/>
      </w:pPr>
      <w:rPr>
        <w:rFonts w:ascii="Arial" w:hAnsi="Arial" w:hint="default"/>
      </w:rPr>
    </w:lvl>
    <w:lvl w:ilvl="2" w:tplc="EBB2B936" w:tentative="1">
      <w:start w:val="1"/>
      <w:numFmt w:val="bullet"/>
      <w:lvlText w:val="•"/>
      <w:lvlJc w:val="left"/>
      <w:pPr>
        <w:tabs>
          <w:tab w:val="num" w:pos="2160"/>
        </w:tabs>
        <w:ind w:left="2160" w:hanging="360"/>
      </w:pPr>
      <w:rPr>
        <w:rFonts w:ascii="Arial" w:hAnsi="Arial" w:hint="default"/>
      </w:rPr>
    </w:lvl>
    <w:lvl w:ilvl="3" w:tplc="E124AE34" w:tentative="1">
      <w:start w:val="1"/>
      <w:numFmt w:val="bullet"/>
      <w:lvlText w:val="•"/>
      <w:lvlJc w:val="left"/>
      <w:pPr>
        <w:tabs>
          <w:tab w:val="num" w:pos="2880"/>
        </w:tabs>
        <w:ind w:left="2880" w:hanging="360"/>
      </w:pPr>
      <w:rPr>
        <w:rFonts w:ascii="Arial" w:hAnsi="Arial" w:hint="default"/>
      </w:rPr>
    </w:lvl>
    <w:lvl w:ilvl="4" w:tplc="743A789A" w:tentative="1">
      <w:start w:val="1"/>
      <w:numFmt w:val="bullet"/>
      <w:lvlText w:val="•"/>
      <w:lvlJc w:val="left"/>
      <w:pPr>
        <w:tabs>
          <w:tab w:val="num" w:pos="3600"/>
        </w:tabs>
        <w:ind w:left="3600" w:hanging="360"/>
      </w:pPr>
      <w:rPr>
        <w:rFonts w:ascii="Arial" w:hAnsi="Arial" w:hint="default"/>
      </w:rPr>
    </w:lvl>
    <w:lvl w:ilvl="5" w:tplc="1F684F68" w:tentative="1">
      <w:start w:val="1"/>
      <w:numFmt w:val="bullet"/>
      <w:lvlText w:val="•"/>
      <w:lvlJc w:val="left"/>
      <w:pPr>
        <w:tabs>
          <w:tab w:val="num" w:pos="4320"/>
        </w:tabs>
        <w:ind w:left="4320" w:hanging="360"/>
      </w:pPr>
      <w:rPr>
        <w:rFonts w:ascii="Arial" w:hAnsi="Arial" w:hint="default"/>
      </w:rPr>
    </w:lvl>
    <w:lvl w:ilvl="6" w:tplc="C74E9A06" w:tentative="1">
      <w:start w:val="1"/>
      <w:numFmt w:val="bullet"/>
      <w:lvlText w:val="•"/>
      <w:lvlJc w:val="left"/>
      <w:pPr>
        <w:tabs>
          <w:tab w:val="num" w:pos="5040"/>
        </w:tabs>
        <w:ind w:left="5040" w:hanging="360"/>
      </w:pPr>
      <w:rPr>
        <w:rFonts w:ascii="Arial" w:hAnsi="Arial" w:hint="default"/>
      </w:rPr>
    </w:lvl>
    <w:lvl w:ilvl="7" w:tplc="4A6439BC" w:tentative="1">
      <w:start w:val="1"/>
      <w:numFmt w:val="bullet"/>
      <w:lvlText w:val="•"/>
      <w:lvlJc w:val="left"/>
      <w:pPr>
        <w:tabs>
          <w:tab w:val="num" w:pos="5760"/>
        </w:tabs>
        <w:ind w:left="5760" w:hanging="360"/>
      </w:pPr>
      <w:rPr>
        <w:rFonts w:ascii="Arial" w:hAnsi="Arial" w:hint="default"/>
      </w:rPr>
    </w:lvl>
    <w:lvl w:ilvl="8" w:tplc="74A8C19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3857452"/>
    <w:multiLevelType w:val="hybridMultilevel"/>
    <w:tmpl w:val="A35A38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4B05066"/>
    <w:multiLevelType w:val="hybridMultilevel"/>
    <w:tmpl w:val="CF94137C"/>
    <w:lvl w:ilvl="0" w:tplc="2368D436">
      <w:numFmt w:val="bullet"/>
      <w:lvlText w:val="•"/>
      <w:lvlJc w:val="left"/>
      <w:pPr>
        <w:ind w:left="720" w:hanging="360"/>
      </w:pPr>
      <w:rPr>
        <w:rFonts w:hint="default"/>
        <w:w w:val="100"/>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A94A2D"/>
    <w:multiLevelType w:val="hybridMultilevel"/>
    <w:tmpl w:val="AA5AD3C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C563826"/>
    <w:multiLevelType w:val="hybridMultilevel"/>
    <w:tmpl w:val="5AA6EAB0"/>
    <w:lvl w:ilvl="0" w:tplc="2368D436">
      <w:numFmt w:val="bullet"/>
      <w:lvlText w:val="•"/>
      <w:lvlJc w:val="left"/>
      <w:pPr>
        <w:ind w:left="720" w:hanging="360"/>
      </w:pPr>
      <w:rPr>
        <w:rFonts w:hint="default"/>
        <w:w w:val="100"/>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22136558">
    <w:abstractNumId w:val="26"/>
  </w:num>
  <w:num w:numId="2" w16cid:durableId="2139184972">
    <w:abstractNumId w:val="20"/>
  </w:num>
  <w:num w:numId="3" w16cid:durableId="1226184999">
    <w:abstractNumId w:val="15"/>
  </w:num>
  <w:num w:numId="4" w16cid:durableId="1398742415">
    <w:abstractNumId w:val="0"/>
  </w:num>
  <w:num w:numId="5" w16cid:durableId="1395467352">
    <w:abstractNumId w:val="2"/>
  </w:num>
  <w:num w:numId="6" w16cid:durableId="687608459">
    <w:abstractNumId w:val="7"/>
  </w:num>
  <w:num w:numId="7" w16cid:durableId="2038308861">
    <w:abstractNumId w:val="32"/>
  </w:num>
  <w:num w:numId="8" w16cid:durableId="505825076">
    <w:abstractNumId w:val="28"/>
  </w:num>
  <w:num w:numId="9" w16cid:durableId="1616982676">
    <w:abstractNumId w:val="4"/>
  </w:num>
  <w:num w:numId="10" w16cid:durableId="1446266819">
    <w:abstractNumId w:val="34"/>
  </w:num>
  <w:num w:numId="11" w16cid:durableId="1928003778">
    <w:abstractNumId w:val="13"/>
  </w:num>
  <w:num w:numId="12" w16cid:durableId="419330958">
    <w:abstractNumId w:val="22"/>
  </w:num>
  <w:num w:numId="13" w16cid:durableId="251162162">
    <w:abstractNumId w:val="3"/>
  </w:num>
  <w:num w:numId="14" w16cid:durableId="1681085610">
    <w:abstractNumId w:val="33"/>
  </w:num>
  <w:num w:numId="15" w16cid:durableId="602761686">
    <w:abstractNumId w:val="11"/>
  </w:num>
  <w:num w:numId="16" w16cid:durableId="302928266">
    <w:abstractNumId w:val="24"/>
  </w:num>
  <w:num w:numId="17" w16cid:durableId="1346594303">
    <w:abstractNumId w:val="9"/>
  </w:num>
  <w:num w:numId="18" w16cid:durableId="616330619">
    <w:abstractNumId w:val="17"/>
  </w:num>
  <w:num w:numId="19" w16cid:durableId="1265963505">
    <w:abstractNumId w:val="31"/>
  </w:num>
  <w:num w:numId="20" w16cid:durableId="858154055">
    <w:abstractNumId w:val="16"/>
  </w:num>
  <w:num w:numId="21" w16cid:durableId="497965414">
    <w:abstractNumId w:val="14"/>
  </w:num>
  <w:num w:numId="22" w16cid:durableId="62872617">
    <w:abstractNumId w:val="30"/>
  </w:num>
  <w:num w:numId="23" w16cid:durableId="722295312">
    <w:abstractNumId w:val="21"/>
  </w:num>
  <w:num w:numId="24" w16cid:durableId="89812084">
    <w:abstractNumId w:val="23"/>
  </w:num>
  <w:num w:numId="25" w16cid:durableId="343675390">
    <w:abstractNumId w:val="10"/>
  </w:num>
  <w:num w:numId="26" w16cid:durableId="585383937">
    <w:abstractNumId w:val="6"/>
  </w:num>
  <w:num w:numId="27" w16cid:durableId="396588785">
    <w:abstractNumId w:val="25"/>
  </w:num>
  <w:num w:numId="28" w16cid:durableId="1888490205">
    <w:abstractNumId w:val="29"/>
  </w:num>
  <w:num w:numId="29" w16cid:durableId="65149910">
    <w:abstractNumId w:val="1"/>
  </w:num>
  <w:num w:numId="30" w16cid:durableId="1250581752">
    <w:abstractNumId w:val="27"/>
  </w:num>
  <w:num w:numId="31" w16cid:durableId="1961380505">
    <w:abstractNumId w:val="5"/>
  </w:num>
  <w:num w:numId="32" w16cid:durableId="1328940383">
    <w:abstractNumId w:val="19"/>
  </w:num>
  <w:num w:numId="33" w16cid:durableId="23288902">
    <w:abstractNumId w:val="18"/>
  </w:num>
  <w:num w:numId="34" w16cid:durableId="69618567">
    <w:abstractNumId w:val="8"/>
  </w:num>
  <w:num w:numId="35" w16cid:durableId="175894275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6A7"/>
    <w:rsid w:val="000036D9"/>
    <w:rsid w:val="000041D3"/>
    <w:rsid w:val="00004739"/>
    <w:rsid w:val="0001186B"/>
    <w:rsid w:val="000451EC"/>
    <w:rsid w:val="000504F6"/>
    <w:rsid w:val="00054999"/>
    <w:rsid w:val="000679D6"/>
    <w:rsid w:val="00067C91"/>
    <w:rsid w:val="00073062"/>
    <w:rsid w:val="00075A7A"/>
    <w:rsid w:val="00076278"/>
    <w:rsid w:val="00081AB0"/>
    <w:rsid w:val="00082162"/>
    <w:rsid w:val="000840A8"/>
    <w:rsid w:val="000848F0"/>
    <w:rsid w:val="000872E4"/>
    <w:rsid w:val="000875B7"/>
    <w:rsid w:val="000973CD"/>
    <w:rsid w:val="000A5632"/>
    <w:rsid w:val="000A6923"/>
    <w:rsid w:val="000B20CB"/>
    <w:rsid w:val="000B6659"/>
    <w:rsid w:val="000C047E"/>
    <w:rsid w:val="000C1929"/>
    <w:rsid w:val="000C4800"/>
    <w:rsid w:val="000C76DB"/>
    <w:rsid w:val="000D3245"/>
    <w:rsid w:val="000D3851"/>
    <w:rsid w:val="000D5583"/>
    <w:rsid w:val="000E2A42"/>
    <w:rsid w:val="000E457F"/>
    <w:rsid w:val="000E7BCD"/>
    <w:rsid w:val="000F5B39"/>
    <w:rsid w:val="000F5F4C"/>
    <w:rsid w:val="0010472F"/>
    <w:rsid w:val="00114D43"/>
    <w:rsid w:val="00120905"/>
    <w:rsid w:val="001229E2"/>
    <w:rsid w:val="00132210"/>
    <w:rsid w:val="001374B8"/>
    <w:rsid w:val="001402F2"/>
    <w:rsid w:val="00142FE7"/>
    <w:rsid w:val="0014378E"/>
    <w:rsid w:val="00143F07"/>
    <w:rsid w:val="00146924"/>
    <w:rsid w:val="00161144"/>
    <w:rsid w:val="00165D81"/>
    <w:rsid w:val="00167C0A"/>
    <w:rsid w:val="001703AD"/>
    <w:rsid w:val="001705CD"/>
    <w:rsid w:val="0018629C"/>
    <w:rsid w:val="00186E74"/>
    <w:rsid w:val="00195BEB"/>
    <w:rsid w:val="00196E4D"/>
    <w:rsid w:val="001A0C7B"/>
    <w:rsid w:val="001A21EE"/>
    <w:rsid w:val="001A4D00"/>
    <w:rsid w:val="001B6948"/>
    <w:rsid w:val="001C0B28"/>
    <w:rsid w:val="001E4E79"/>
    <w:rsid w:val="001E6748"/>
    <w:rsid w:val="001E6A39"/>
    <w:rsid w:val="001F0A7B"/>
    <w:rsid w:val="002026C0"/>
    <w:rsid w:val="00206AD2"/>
    <w:rsid w:val="00212F83"/>
    <w:rsid w:val="00214D85"/>
    <w:rsid w:val="00215006"/>
    <w:rsid w:val="00231F38"/>
    <w:rsid w:val="00232C81"/>
    <w:rsid w:val="00233201"/>
    <w:rsid w:val="00235603"/>
    <w:rsid w:val="00245B4D"/>
    <w:rsid w:val="002552F4"/>
    <w:rsid w:val="00263FB2"/>
    <w:rsid w:val="0026701C"/>
    <w:rsid w:val="00272DF8"/>
    <w:rsid w:val="0027654B"/>
    <w:rsid w:val="00277563"/>
    <w:rsid w:val="002800D7"/>
    <w:rsid w:val="00287032"/>
    <w:rsid w:val="00287DC5"/>
    <w:rsid w:val="002962E4"/>
    <w:rsid w:val="002A0C90"/>
    <w:rsid w:val="002A7D60"/>
    <w:rsid w:val="002B051C"/>
    <w:rsid w:val="002B19BE"/>
    <w:rsid w:val="002B405D"/>
    <w:rsid w:val="002B510D"/>
    <w:rsid w:val="002B6BC7"/>
    <w:rsid w:val="002C1637"/>
    <w:rsid w:val="002C5FB7"/>
    <w:rsid w:val="002C6E33"/>
    <w:rsid w:val="002D5B3C"/>
    <w:rsid w:val="002D637A"/>
    <w:rsid w:val="002D6510"/>
    <w:rsid w:val="002E653F"/>
    <w:rsid w:val="002E74BF"/>
    <w:rsid w:val="002F7025"/>
    <w:rsid w:val="00307140"/>
    <w:rsid w:val="00311AB1"/>
    <w:rsid w:val="00312A65"/>
    <w:rsid w:val="00314664"/>
    <w:rsid w:val="00320F6E"/>
    <w:rsid w:val="003216A8"/>
    <w:rsid w:val="0034046B"/>
    <w:rsid w:val="003503C0"/>
    <w:rsid w:val="00357E3B"/>
    <w:rsid w:val="0037235E"/>
    <w:rsid w:val="00373534"/>
    <w:rsid w:val="00383993"/>
    <w:rsid w:val="003976C0"/>
    <w:rsid w:val="003B4574"/>
    <w:rsid w:val="003C5931"/>
    <w:rsid w:val="003D137E"/>
    <w:rsid w:val="003D2063"/>
    <w:rsid w:val="003D2B38"/>
    <w:rsid w:val="003D3C84"/>
    <w:rsid w:val="003E6329"/>
    <w:rsid w:val="003F5738"/>
    <w:rsid w:val="004015C2"/>
    <w:rsid w:val="00403081"/>
    <w:rsid w:val="00414CDF"/>
    <w:rsid w:val="004165D0"/>
    <w:rsid w:val="00416CE5"/>
    <w:rsid w:val="00416DA5"/>
    <w:rsid w:val="00422E2D"/>
    <w:rsid w:val="00427230"/>
    <w:rsid w:val="00431E7F"/>
    <w:rsid w:val="00442277"/>
    <w:rsid w:val="00456578"/>
    <w:rsid w:val="00460699"/>
    <w:rsid w:val="004731B7"/>
    <w:rsid w:val="004746AB"/>
    <w:rsid w:val="00475102"/>
    <w:rsid w:val="0047518F"/>
    <w:rsid w:val="0047780B"/>
    <w:rsid w:val="004916EA"/>
    <w:rsid w:val="00493351"/>
    <w:rsid w:val="00493420"/>
    <w:rsid w:val="0049515D"/>
    <w:rsid w:val="004B1C40"/>
    <w:rsid w:val="004B21F6"/>
    <w:rsid w:val="004C70D0"/>
    <w:rsid w:val="004D0132"/>
    <w:rsid w:val="004D1C0A"/>
    <w:rsid w:val="004D3944"/>
    <w:rsid w:val="004E4965"/>
    <w:rsid w:val="00502D3E"/>
    <w:rsid w:val="005070B0"/>
    <w:rsid w:val="005271D6"/>
    <w:rsid w:val="00531007"/>
    <w:rsid w:val="00531E22"/>
    <w:rsid w:val="005379FE"/>
    <w:rsid w:val="00546BF2"/>
    <w:rsid w:val="005471B6"/>
    <w:rsid w:val="00552DDF"/>
    <w:rsid w:val="00561DB2"/>
    <w:rsid w:val="00564D37"/>
    <w:rsid w:val="00574378"/>
    <w:rsid w:val="00577901"/>
    <w:rsid w:val="00580D37"/>
    <w:rsid w:val="005823B0"/>
    <w:rsid w:val="00582B43"/>
    <w:rsid w:val="00586E74"/>
    <w:rsid w:val="005A6078"/>
    <w:rsid w:val="005C68A0"/>
    <w:rsid w:val="005C6BE2"/>
    <w:rsid w:val="005D1531"/>
    <w:rsid w:val="005D1F68"/>
    <w:rsid w:val="005D68C9"/>
    <w:rsid w:val="005D6B4F"/>
    <w:rsid w:val="005E1F42"/>
    <w:rsid w:val="005F1C03"/>
    <w:rsid w:val="005F3756"/>
    <w:rsid w:val="00604848"/>
    <w:rsid w:val="00605162"/>
    <w:rsid w:val="00622ED9"/>
    <w:rsid w:val="0062593B"/>
    <w:rsid w:val="00641817"/>
    <w:rsid w:val="00642439"/>
    <w:rsid w:val="00643A0F"/>
    <w:rsid w:val="006472D8"/>
    <w:rsid w:val="00653B17"/>
    <w:rsid w:val="00655E46"/>
    <w:rsid w:val="00661DA0"/>
    <w:rsid w:val="00662B08"/>
    <w:rsid w:val="00677C15"/>
    <w:rsid w:val="006820DE"/>
    <w:rsid w:val="006834E0"/>
    <w:rsid w:val="006901CF"/>
    <w:rsid w:val="00691197"/>
    <w:rsid w:val="006952E1"/>
    <w:rsid w:val="00696F17"/>
    <w:rsid w:val="006B5B06"/>
    <w:rsid w:val="006C0FA6"/>
    <w:rsid w:val="006C1F36"/>
    <w:rsid w:val="006C52AD"/>
    <w:rsid w:val="006D0202"/>
    <w:rsid w:val="006D1B09"/>
    <w:rsid w:val="006D5480"/>
    <w:rsid w:val="006E0ED6"/>
    <w:rsid w:val="006E1083"/>
    <w:rsid w:val="006E1499"/>
    <w:rsid w:val="006E1FA8"/>
    <w:rsid w:val="006E7001"/>
    <w:rsid w:val="00700A77"/>
    <w:rsid w:val="00702306"/>
    <w:rsid w:val="00703C90"/>
    <w:rsid w:val="0071176A"/>
    <w:rsid w:val="007133CB"/>
    <w:rsid w:val="00721DC2"/>
    <w:rsid w:val="00723345"/>
    <w:rsid w:val="007253AC"/>
    <w:rsid w:val="00734663"/>
    <w:rsid w:val="00736B5B"/>
    <w:rsid w:val="00740E4F"/>
    <w:rsid w:val="00746AA5"/>
    <w:rsid w:val="00753514"/>
    <w:rsid w:val="007620B3"/>
    <w:rsid w:val="007633CD"/>
    <w:rsid w:val="00763B43"/>
    <w:rsid w:val="00765E06"/>
    <w:rsid w:val="0077035E"/>
    <w:rsid w:val="007816C0"/>
    <w:rsid w:val="007877D1"/>
    <w:rsid w:val="00787A86"/>
    <w:rsid w:val="00791F61"/>
    <w:rsid w:val="007A31E4"/>
    <w:rsid w:val="007A4BD7"/>
    <w:rsid w:val="007B31B4"/>
    <w:rsid w:val="007B7F9F"/>
    <w:rsid w:val="007C3BF8"/>
    <w:rsid w:val="007C650D"/>
    <w:rsid w:val="007D3588"/>
    <w:rsid w:val="007D385F"/>
    <w:rsid w:val="007D4324"/>
    <w:rsid w:val="007D44A3"/>
    <w:rsid w:val="007E2571"/>
    <w:rsid w:val="007E51BB"/>
    <w:rsid w:val="007F1E4B"/>
    <w:rsid w:val="007F39F4"/>
    <w:rsid w:val="007F55ED"/>
    <w:rsid w:val="008012A6"/>
    <w:rsid w:val="00801541"/>
    <w:rsid w:val="008033D0"/>
    <w:rsid w:val="00814CBD"/>
    <w:rsid w:val="008153CE"/>
    <w:rsid w:val="00821E49"/>
    <w:rsid w:val="00823C29"/>
    <w:rsid w:val="00826716"/>
    <w:rsid w:val="00830E00"/>
    <w:rsid w:val="00835AAD"/>
    <w:rsid w:val="00836673"/>
    <w:rsid w:val="00841930"/>
    <w:rsid w:val="008459DD"/>
    <w:rsid w:val="008466C4"/>
    <w:rsid w:val="00855DA0"/>
    <w:rsid w:val="00857B90"/>
    <w:rsid w:val="008608B0"/>
    <w:rsid w:val="008616E3"/>
    <w:rsid w:val="00865F80"/>
    <w:rsid w:val="00867AB9"/>
    <w:rsid w:val="0087248C"/>
    <w:rsid w:val="00874AA9"/>
    <w:rsid w:val="00880834"/>
    <w:rsid w:val="00881164"/>
    <w:rsid w:val="00894EDA"/>
    <w:rsid w:val="00895AFC"/>
    <w:rsid w:val="00897B25"/>
    <w:rsid w:val="008A2943"/>
    <w:rsid w:val="008A7885"/>
    <w:rsid w:val="008C0F0C"/>
    <w:rsid w:val="008C12B9"/>
    <w:rsid w:val="008C212E"/>
    <w:rsid w:val="008C5C96"/>
    <w:rsid w:val="008E0735"/>
    <w:rsid w:val="008E20C5"/>
    <w:rsid w:val="008E6931"/>
    <w:rsid w:val="008E7CD7"/>
    <w:rsid w:val="008F11B4"/>
    <w:rsid w:val="008F1C1F"/>
    <w:rsid w:val="008F1C5F"/>
    <w:rsid w:val="008F2BD6"/>
    <w:rsid w:val="008F3391"/>
    <w:rsid w:val="008F352A"/>
    <w:rsid w:val="008F3C03"/>
    <w:rsid w:val="008F582F"/>
    <w:rsid w:val="008F67FB"/>
    <w:rsid w:val="008F7019"/>
    <w:rsid w:val="00902DE0"/>
    <w:rsid w:val="00911DD2"/>
    <w:rsid w:val="00911F9D"/>
    <w:rsid w:val="00912B35"/>
    <w:rsid w:val="00912EDB"/>
    <w:rsid w:val="009208F3"/>
    <w:rsid w:val="00923389"/>
    <w:rsid w:val="00924FED"/>
    <w:rsid w:val="00927901"/>
    <w:rsid w:val="0094558C"/>
    <w:rsid w:val="009577C1"/>
    <w:rsid w:val="00960361"/>
    <w:rsid w:val="0096062D"/>
    <w:rsid w:val="00964495"/>
    <w:rsid w:val="0097355D"/>
    <w:rsid w:val="00975A6F"/>
    <w:rsid w:val="00986DCF"/>
    <w:rsid w:val="00996569"/>
    <w:rsid w:val="009A57E1"/>
    <w:rsid w:val="009A610D"/>
    <w:rsid w:val="009C2A6F"/>
    <w:rsid w:val="009C3318"/>
    <w:rsid w:val="009C525A"/>
    <w:rsid w:val="009D4F2C"/>
    <w:rsid w:val="009F1D1F"/>
    <w:rsid w:val="009F685C"/>
    <w:rsid w:val="009F6E79"/>
    <w:rsid w:val="00A0135F"/>
    <w:rsid w:val="00A05A97"/>
    <w:rsid w:val="00A06348"/>
    <w:rsid w:val="00A10C06"/>
    <w:rsid w:val="00A11F08"/>
    <w:rsid w:val="00A15DB4"/>
    <w:rsid w:val="00A1708E"/>
    <w:rsid w:val="00A22E30"/>
    <w:rsid w:val="00A32DD4"/>
    <w:rsid w:val="00A37205"/>
    <w:rsid w:val="00A44D0C"/>
    <w:rsid w:val="00A44E5B"/>
    <w:rsid w:val="00A4657C"/>
    <w:rsid w:val="00A5119B"/>
    <w:rsid w:val="00A51657"/>
    <w:rsid w:val="00A60B11"/>
    <w:rsid w:val="00A612BF"/>
    <w:rsid w:val="00A620C1"/>
    <w:rsid w:val="00A67F8F"/>
    <w:rsid w:val="00A76047"/>
    <w:rsid w:val="00A76F58"/>
    <w:rsid w:val="00A8032F"/>
    <w:rsid w:val="00A816EE"/>
    <w:rsid w:val="00A83E60"/>
    <w:rsid w:val="00A84E1D"/>
    <w:rsid w:val="00A8536B"/>
    <w:rsid w:val="00A91A69"/>
    <w:rsid w:val="00A92EC7"/>
    <w:rsid w:val="00A95108"/>
    <w:rsid w:val="00A95162"/>
    <w:rsid w:val="00AA007A"/>
    <w:rsid w:val="00AA2777"/>
    <w:rsid w:val="00AA56DF"/>
    <w:rsid w:val="00AC4992"/>
    <w:rsid w:val="00AC5E5E"/>
    <w:rsid w:val="00AE03A2"/>
    <w:rsid w:val="00AE4562"/>
    <w:rsid w:val="00AF318B"/>
    <w:rsid w:val="00AF459B"/>
    <w:rsid w:val="00B01220"/>
    <w:rsid w:val="00B03271"/>
    <w:rsid w:val="00B038BD"/>
    <w:rsid w:val="00B15171"/>
    <w:rsid w:val="00B17850"/>
    <w:rsid w:val="00B21B75"/>
    <w:rsid w:val="00B23D5F"/>
    <w:rsid w:val="00B270F5"/>
    <w:rsid w:val="00B35070"/>
    <w:rsid w:val="00B35348"/>
    <w:rsid w:val="00B45256"/>
    <w:rsid w:val="00B50973"/>
    <w:rsid w:val="00B5201C"/>
    <w:rsid w:val="00B5271E"/>
    <w:rsid w:val="00B53286"/>
    <w:rsid w:val="00B66D28"/>
    <w:rsid w:val="00B73354"/>
    <w:rsid w:val="00B74DA5"/>
    <w:rsid w:val="00B765B3"/>
    <w:rsid w:val="00B76BA9"/>
    <w:rsid w:val="00B8052A"/>
    <w:rsid w:val="00B829D3"/>
    <w:rsid w:val="00BA2AEA"/>
    <w:rsid w:val="00BB0E62"/>
    <w:rsid w:val="00BB646E"/>
    <w:rsid w:val="00BB7BCE"/>
    <w:rsid w:val="00BC626E"/>
    <w:rsid w:val="00BD2E72"/>
    <w:rsid w:val="00BE6F27"/>
    <w:rsid w:val="00BF2CC5"/>
    <w:rsid w:val="00C32E7A"/>
    <w:rsid w:val="00C34709"/>
    <w:rsid w:val="00C376EC"/>
    <w:rsid w:val="00C421E0"/>
    <w:rsid w:val="00C44095"/>
    <w:rsid w:val="00C46A52"/>
    <w:rsid w:val="00C4711E"/>
    <w:rsid w:val="00C5126C"/>
    <w:rsid w:val="00C613D8"/>
    <w:rsid w:val="00C62F32"/>
    <w:rsid w:val="00C7045E"/>
    <w:rsid w:val="00C7613D"/>
    <w:rsid w:val="00C81FB3"/>
    <w:rsid w:val="00C852D7"/>
    <w:rsid w:val="00C959EE"/>
    <w:rsid w:val="00C9690D"/>
    <w:rsid w:val="00CA5369"/>
    <w:rsid w:val="00CB44CA"/>
    <w:rsid w:val="00CB4C82"/>
    <w:rsid w:val="00CB5B64"/>
    <w:rsid w:val="00CC2860"/>
    <w:rsid w:val="00CC6F35"/>
    <w:rsid w:val="00CD27CA"/>
    <w:rsid w:val="00CD7279"/>
    <w:rsid w:val="00CD7597"/>
    <w:rsid w:val="00CE0D96"/>
    <w:rsid w:val="00CE29A8"/>
    <w:rsid w:val="00CF2094"/>
    <w:rsid w:val="00CF4F53"/>
    <w:rsid w:val="00CF6C6A"/>
    <w:rsid w:val="00D02661"/>
    <w:rsid w:val="00D034BD"/>
    <w:rsid w:val="00D17065"/>
    <w:rsid w:val="00D260B9"/>
    <w:rsid w:val="00D31E70"/>
    <w:rsid w:val="00D3307B"/>
    <w:rsid w:val="00D36742"/>
    <w:rsid w:val="00D45ED0"/>
    <w:rsid w:val="00D54721"/>
    <w:rsid w:val="00D5581C"/>
    <w:rsid w:val="00D55AFF"/>
    <w:rsid w:val="00D57E0F"/>
    <w:rsid w:val="00D60534"/>
    <w:rsid w:val="00D6185D"/>
    <w:rsid w:val="00D62AE5"/>
    <w:rsid w:val="00D639AC"/>
    <w:rsid w:val="00D67624"/>
    <w:rsid w:val="00D76038"/>
    <w:rsid w:val="00D76474"/>
    <w:rsid w:val="00D909BF"/>
    <w:rsid w:val="00DA051A"/>
    <w:rsid w:val="00DB5EEF"/>
    <w:rsid w:val="00DC1F66"/>
    <w:rsid w:val="00DC223C"/>
    <w:rsid w:val="00DC3B8A"/>
    <w:rsid w:val="00DD1B11"/>
    <w:rsid w:val="00DD5F4B"/>
    <w:rsid w:val="00DF026C"/>
    <w:rsid w:val="00DF08C5"/>
    <w:rsid w:val="00DF209D"/>
    <w:rsid w:val="00DF2A4F"/>
    <w:rsid w:val="00E047C6"/>
    <w:rsid w:val="00E12ABA"/>
    <w:rsid w:val="00E15955"/>
    <w:rsid w:val="00E2226C"/>
    <w:rsid w:val="00E245B5"/>
    <w:rsid w:val="00E25345"/>
    <w:rsid w:val="00E31E50"/>
    <w:rsid w:val="00E34B2C"/>
    <w:rsid w:val="00E37954"/>
    <w:rsid w:val="00E502ED"/>
    <w:rsid w:val="00E55328"/>
    <w:rsid w:val="00E761CB"/>
    <w:rsid w:val="00E80451"/>
    <w:rsid w:val="00E80842"/>
    <w:rsid w:val="00E816A7"/>
    <w:rsid w:val="00E90738"/>
    <w:rsid w:val="00EA0388"/>
    <w:rsid w:val="00EA08AC"/>
    <w:rsid w:val="00EA27A8"/>
    <w:rsid w:val="00EA4365"/>
    <w:rsid w:val="00EA6967"/>
    <w:rsid w:val="00EC0E27"/>
    <w:rsid w:val="00ED5484"/>
    <w:rsid w:val="00ED5506"/>
    <w:rsid w:val="00EE0D77"/>
    <w:rsid w:val="00EE69E8"/>
    <w:rsid w:val="00EE75A5"/>
    <w:rsid w:val="00EF410C"/>
    <w:rsid w:val="00EF529C"/>
    <w:rsid w:val="00F11466"/>
    <w:rsid w:val="00F1731E"/>
    <w:rsid w:val="00F2082A"/>
    <w:rsid w:val="00F21D4A"/>
    <w:rsid w:val="00F30230"/>
    <w:rsid w:val="00F351C0"/>
    <w:rsid w:val="00F43BEF"/>
    <w:rsid w:val="00F46F06"/>
    <w:rsid w:val="00F50AF1"/>
    <w:rsid w:val="00F52849"/>
    <w:rsid w:val="00F5456C"/>
    <w:rsid w:val="00F612CE"/>
    <w:rsid w:val="00F702EA"/>
    <w:rsid w:val="00F71441"/>
    <w:rsid w:val="00F7239E"/>
    <w:rsid w:val="00F75BFD"/>
    <w:rsid w:val="00F8286E"/>
    <w:rsid w:val="00F82B80"/>
    <w:rsid w:val="00F867C8"/>
    <w:rsid w:val="00F928D0"/>
    <w:rsid w:val="00F96878"/>
    <w:rsid w:val="00F97E33"/>
    <w:rsid w:val="00FA7387"/>
    <w:rsid w:val="00FB180F"/>
    <w:rsid w:val="00FD052E"/>
    <w:rsid w:val="00FD2360"/>
    <w:rsid w:val="00FD33C0"/>
    <w:rsid w:val="00FD3809"/>
    <w:rsid w:val="00FD4C1A"/>
    <w:rsid w:val="00FE0E3B"/>
    <w:rsid w:val="00FF27DD"/>
    <w:rsid w:val="00FF4B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2F8BB"/>
  <w15:chartTrackingRefBased/>
  <w15:docId w15:val="{7D28956E-93F3-412B-BD84-C97B36FF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7654B"/>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AC4992"/>
    <w:pPr>
      <w:keepNext/>
      <w:keepLines/>
      <w:tabs>
        <w:tab w:val="num" w:pos="0"/>
      </w:tabs>
      <w:suppressAutoHyphens/>
      <w:spacing w:after="200" w:line="312" w:lineRule="auto"/>
      <w:ind w:left="431" w:hanging="431"/>
      <w:jc w:val="center"/>
      <w:outlineLvl w:val="0"/>
    </w:pPr>
    <w:rPr>
      <w:rFonts w:ascii="Tahoma" w:hAnsi="Tahoma"/>
      <w:b/>
      <w:bCs/>
      <w:color w:val="000000"/>
      <w:kern w:val="2"/>
      <w:sz w:val="32"/>
      <w:szCs w:val="28"/>
      <w:lang w:val="x-none" w:eastAsia="zh-CN"/>
    </w:rPr>
  </w:style>
  <w:style w:type="paragraph" w:styleId="Titolo2">
    <w:name w:val="heading 2"/>
    <w:basedOn w:val="Normale"/>
    <w:link w:val="Titolo2Carattere"/>
    <w:uiPriority w:val="9"/>
    <w:qFormat/>
    <w:rsid w:val="00B15171"/>
    <w:pPr>
      <w:suppressAutoHyphens/>
      <w:spacing w:after="200" w:line="276" w:lineRule="auto"/>
      <w:ind w:right="-1"/>
      <w:outlineLvl w:val="1"/>
    </w:pPr>
    <w:rPr>
      <w:rFonts w:ascii="Tahoma" w:hAnsi="Tahoma"/>
      <w:b/>
      <w:iCs/>
      <w:color w:val="000000"/>
      <w:kern w:val="2"/>
      <w:sz w:val="22"/>
      <w:u w:val="single"/>
      <w:lang w:val="x-none" w:eastAsia="zh-CN"/>
    </w:rPr>
  </w:style>
  <w:style w:type="paragraph" w:styleId="Titolo3">
    <w:name w:val="heading 3"/>
    <w:basedOn w:val="Normale"/>
    <w:link w:val="Titolo3Carattere"/>
    <w:uiPriority w:val="9"/>
    <w:qFormat/>
    <w:rsid w:val="00C4711E"/>
    <w:pPr>
      <w:spacing w:before="100" w:beforeAutospacing="1" w:after="100" w:afterAutospacing="1"/>
      <w:outlineLvl w:val="2"/>
    </w:pPr>
    <w:rPr>
      <w:b/>
      <w:bCs/>
      <w:sz w:val="27"/>
      <w:szCs w:val="27"/>
    </w:rPr>
  </w:style>
  <w:style w:type="paragraph" w:styleId="Titolo4">
    <w:name w:val="heading 4"/>
    <w:basedOn w:val="Normale"/>
    <w:next w:val="Normale"/>
    <w:link w:val="Titolo4Carattere"/>
    <w:uiPriority w:val="9"/>
    <w:semiHidden/>
    <w:unhideWhenUsed/>
    <w:qFormat/>
    <w:rsid w:val="000A563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816A7"/>
    <w:pPr>
      <w:spacing w:after="160" w:line="259" w:lineRule="auto"/>
      <w:ind w:left="720"/>
      <w:contextualSpacing/>
    </w:pPr>
    <w:rPr>
      <w:rFonts w:asciiTheme="minorHAnsi" w:eastAsiaTheme="minorHAnsi" w:hAnsiTheme="minorHAnsi" w:cstheme="minorBidi"/>
      <w:sz w:val="22"/>
      <w:szCs w:val="22"/>
      <w:lang w:eastAsia="en-US"/>
    </w:rPr>
  </w:style>
  <w:style w:type="paragraph" w:styleId="PreformattatoHTML">
    <w:name w:val="HTML Preformatted"/>
    <w:basedOn w:val="Normale"/>
    <w:link w:val="PreformattatoHTMLCarattere"/>
    <w:uiPriority w:val="99"/>
    <w:unhideWhenUsed/>
    <w:rsid w:val="00076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076278"/>
    <w:rPr>
      <w:rFonts w:ascii="Courier New" w:eastAsia="Times New Roman" w:hAnsi="Courier New" w:cs="Courier New"/>
      <w:sz w:val="20"/>
      <w:szCs w:val="20"/>
      <w:lang w:eastAsia="it-IT"/>
    </w:rPr>
  </w:style>
  <w:style w:type="paragraph" w:customStyle="1" w:styleId="comma">
    <w:name w:val="comma"/>
    <w:basedOn w:val="Normale"/>
    <w:rsid w:val="00076278"/>
    <w:pPr>
      <w:spacing w:before="100" w:beforeAutospacing="1" w:after="100" w:afterAutospacing="1"/>
    </w:pPr>
  </w:style>
  <w:style w:type="paragraph" w:styleId="Testonotaapidipagina">
    <w:name w:val="footnote text"/>
    <w:basedOn w:val="Normale"/>
    <w:link w:val="TestonotaapidipaginaCarattere"/>
    <w:uiPriority w:val="99"/>
    <w:semiHidden/>
    <w:unhideWhenUsed/>
    <w:rsid w:val="0094558C"/>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94558C"/>
    <w:rPr>
      <w:sz w:val="20"/>
      <w:szCs w:val="20"/>
    </w:rPr>
  </w:style>
  <w:style w:type="character" w:styleId="Rimandonotaapidipagina">
    <w:name w:val="footnote reference"/>
    <w:basedOn w:val="Carpredefinitoparagrafo"/>
    <w:uiPriority w:val="99"/>
    <w:semiHidden/>
    <w:unhideWhenUsed/>
    <w:rsid w:val="0094558C"/>
    <w:rPr>
      <w:vertAlign w:val="superscript"/>
    </w:rPr>
  </w:style>
  <w:style w:type="character" w:customStyle="1" w:styleId="navback12">
    <w:name w:val="navback12"/>
    <w:basedOn w:val="Carpredefinitoparagrafo"/>
    <w:rsid w:val="000848F0"/>
  </w:style>
  <w:style w:type="character" w:styleId="Collegamentoipertestuale">
    <w:name w:val="Hyperlink"/>
    <w:basedOn w:val="Carpredefinitoparagrafo"/>
    <w:uiPriority w:val="99"/>
    <w:unhideWhenUsed/>
    <w:rsid w:val="000848F0"/>
    <w:rPr>
      <w:color w:val="0000FF"/>
      <w:u w:val="single"/>
    </w:rPr>
  </w:style>
  <w:style w:type="character" w:customStyle="1" w:styleId="navback5">
    <w:name w:val="navback5"/>
    <w:basedOn w:val="Carpredefinitoparagrafo"/>
    <w:rsid w:val="000848F0"/>
  </w:style>
  <w:style w:type="character" w:customStyle="1" w:styleId="navback3">
    <w:name w:val="navback3"/>
    <w:basedOn w:val="Carpredefinitoparagrafo"/>
    <w:rsid w:val="000848F0"/>
  </w:style>
  <w:style w:type="character" w:customStyle="1" w:styleId="navback8">
    <w:name w:val="navback8"/>
    <w:basedOn w:val="Carpredefinitoparagrafo"/>
    <w:rsid w:val="000848F0"/>
  </w:style>
  <w:style w:type="character" w:customStyle="1" w:styleId="navback9">
    <w:name w:val="navback9"/>
    <w:basedOn w:val="Carpredefinitoparagrafo"/>
    <w:rsid w:val="000848F0"/>
  </w:style>
  <w:style w:type="character" w:styleId="Enfasicorsivo">
    <w:name w:val="Emphasis"/>
    <w:basedOn w:val="Carpredefinitoparagrafo"/>
    <w:uiPriority w:val="20"/>
    <w:qFormat/>
    <w:rsid w:val="00416DA5"/>
    <w:rPr>
      <w:i/>
      <w:iCs/>
    </w:rPr>
  </w:style>
  <w:style w:type="character" w:styleId="Enfasigrassetto">
    <w:name w:val="Strong"/>
    <w:basedOn w:val="Carpredefinitoparagrafo"/>
    <w:uiPriority w:val="22"/>
    <w:qFormat/>
    <w:rsid w:val="00416DA5"/>
    <w:rPr>
      <w:b/>
      <w:bCs/>
    </w:rPr>
  </w:style>
  <w:style w:type="character" w:styleId="Rimandocommento">
    <w:name w:val="annotation reference"/>
    <w:basedOn w:val="Carpredefinitoparagrafo"/>
    <w:uiPriority w:val="99"/>
    <w:semiHidden/>
    <w:unhideWhenUsed/>
    <w:rsid w:val="00F75BFD"/>
    <w:rPr>
      <w:sz w:val="16"/>
      <w:szCs w:val="16"/>
    </w:rPr>
  </w:style>
  <w:style w:type="paragraph" w:styleId="Testocommento">
    <w:name w:val="annotation text"/>
    <w:basedOn w:val="Normale"/>
    <w:link w:val="TestocommentoCarattere"/>
    <w:uiPriority w:val="99"/>
    <w:semiHidden/>
    <w:unhideWhenUsed/>
    <w:rsid w:val="00F75BFD"/>
    <w:rPr>
      <w:sz w:val="20"/>
      <w:szCs w:val="20"/>
    </w:rPr>
  </w:style>
  <w:style w:type="character" w:customStyle="1" w:styleId="TestocommentoCarattere">
    <w:name w:val="Testo commento Carattere"/>
    <w:basedOn w:val="Carpredefinitoparagrafo"/>
    <w:link w:val="Testocommento"/>
    <w:uiPriority w:val="99"/>
    <w:semiHidden/>
    <w:rsid w:val="00F75BFD"/>
    <w:rPr>
      <w:sz w:val="20"/>
      <w:szCs w:val="20"/>
    </w:rPr>
  </w:style>
  <w:style w:type="paragraph" w:styleId="Soggettocommento">
    <w:name w:val="annotation subject"/>
    <w:basedOn w:val="Testocommento"/>
    <w:next w:val="Testocommento"/>
    <w:link w:val="SoggettocommentoCarattere"/>
    <w:uiPriority w:val="99"/>
    <w:semiHidden/>
    <w:unhideWhenUsed/>
    <w:rsid w:val="00F75BFD"/>
    <w:rPr>
      <w:b/>
      <w:bCs/>
    </w:rPr>
  </w:style>
  <w:style w:type="character" w:customStyle="1" w:styleId="SoggettocommentoCarattere">
    <w:name w:val="Soggetto commento Carattere"/>
    <w:basedOn w:val="TestocommentoCarattere"/>
    <w:link w:val="Soggettocommento"/>
    <w:uiPriority w:val="99"/>
    <w:semiHidden/>
    <w:rsid w:val="00F75BFD"/>
    <w:rPr>
      <w:b/>
      <w:bCs/>
      <w:sz w:val="20"/>
      <w:szCs w:val="20"/>
    </w:rPr>
  </w:style>
  <w:style w:type="paragraph" w:styleId="Testofumetto">
    <w:name w:val="Balloon Text"/>
    <w:basedOn w:val="Normale"/>
    <w:link w:val="TestofumettoCarattere"/>
    <w:uiPriority w:val="99"/>
    <w:semiHidden/>
    <w:unhideWhenUsed/>
    <w:rsid w:val="00F75BF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75BFD"/>
    <w:rPr>
      <w:rFonts w:ascii="Segoe UI" w:hAnsi="Segoe UI" w:cs="Segoe UI"/>
      <w:sz w:val="18"/>
      <w:szCs w:val="18"/>
    </w:rPr>
  </w:style>
  <w:style w:type="paragraph" w:styleId="Intestazione">
    <w:name w:val="header"/>
    <w:basedOn w:val="Normale"/>
    <w:link w:val="IntestazioneCarattere"/>
    <w:unhideWhenUsed/>
    <w:rsid w:val="00FD33C0"/>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FD33C0"/>
  </w:style>
  <w:style w:type="paragraph" w:styleId="Pidipagina">
    <w:name w:val="footer"/>
    <w:basedOn w:val="Normale"/>
    <w:link w:val="PidipaginaCarattere"/>
    <w:uiPriority w:val="99"/>
    <w:unhideWhenUsed/>
    <w:rsid w:val="00FD33C0"/>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FD33C0"/>
  </w:style>
  <w:style w:type="character" w:customStyle="1" w:styleId="Titolo2Carattere">
    <w:name w:val="Titolo 2 Carattere"/>
    <w:basedOn w:val="Carpredefinitoparagrafo"/>
    <w:link w:val="Titolo2"/>
    <w:uiPriority w:val="9"/>
    <w:rsid w:val="00B15171"/>
    <w:rPr>
      <w:rFonts w:ascii="Tahoma" w:eastAsia="Times New Roman" w:hAnsi="Tahoma" w:cs="Times New Roman"/>
      <w:b/>
      <w:iCs/>
      <w:color w:val="000000"/>
      <w:kern w:val="2"/>
      <w:szCs w:val="24"/>
      <w:u w:val="single"/>
      <w:lang w:val="x-none" w:eastAsia="zh-CN"/>
    </w:rPr>
  </w:style>
  <w:style w:type="character" w:customStyle="1" w:styleId="Titolo3Carattere">
    <w:name w:val="Titolo 3 Carattere"/>
    <w:basedOn w:val="Carpredefinitoparagrafo"/>
    <w:link w:val="Titolo3"/>
    <w:uiPriority w:val="9"/>
    <w:rsid w:val="00C4711E"/>
    <w:rPr>
      <w:rFonts w:ascii="Times New Roman" w:eastAsia="Times New Roman" w:hAnsi="Times New Roman" w:cs="Times New Roman"/>
      <w:b/>
      <w:bCs/>
      <w:sz w:val="27"/>
      <w:szCs w:val="27"/>
      <w:lang w:eastAsia="it-IT"/>
    </w:rPr>
  </w:style>
  <w:style w:type="character" w:customStyle="1" w:styleId="navback2">
    <w:name w:val="navback2"/>
    <w:basedOn w:val="Carpredefinitoparagrafo"/>
    <w:rsid w:val="007D3588"/>
  </w:style>
  <w:style w:type="character" w:customStyle="1" w:styleId="navback10">
    <w:name w:val="navback10"/>
    <w:basedOn w:val="Carpredefinitoparagrafo"/>
    <w:rsid w:val="007D3588"/>
  </w:style>
  <w:style w:type="character" w:customStyle="1" w:styleId="navback7">
    <w:name w:val="navback7"/>
    <w:basedOn w:val="Carpredefinitoparagrafo"/>
    <w:rsid w:val="007D3588"/>
  </w:style>
  <w:style w:type="character" w:styleId="Collegamentovisitato">
    <w:name w:val="FollowedHyperlink"/>
    <w:basedOn w:val="Carpredefinitoparagrafo"/>
    <w:uiPriority w:val="99"/>
    <w:semiHidden/>
    <w:unhideWhenUsed/>
    <w:rsid w:val="00311AB1"/>
    <w:rPr>
      <w:color w:val="954F72" w:themeColor="followedHyperlink"/>
      <w:u w:val="single"/>
    </w:rPr>
  </w:style>
  <w:style w:type="table" w:styleId="Grigliatabella">
    <w:name w:val="Table Grid"/>
    <w:basedOn w:val="Tabellanormale"/>
    <w:uiPriority w:val="39"/>
    <w:rsid w:val="00A84E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4664"/>
    <w:pPr>
      <w:autoSpaceDE w:val="0"/>
      <w:autoSpaceDN w:val="0"/>
      <w:adjustRightInd w:val="0"/>
      <w:spacing w:after="0" w:line="240" w:lineRule="auto"/>
    </w:pPr>
    <w:rPr>
      <w:rFonts w:ascii="Verdana" w:hAnsi="Verdana" w:cs="Verdana"/>
      <w:color w:val="000000"/>
      <w:sz w:val="24"/>
      <w:szCs w:val="24"/>
    </w:rPr>
  </w:style>
  <w:style w:type="character" w:styleId="Menzionenonrisolta">
    <w:name w:val="Unresolved Mention"/>
    <w:basedOn w:val="Carpredefinitoparagrafo"/>
    <w:uiPriority w:val="99"/>
    <w:semiHidden/>
    <w:unhideWhenUsed/>
    <w:rsid w:val="00B03271"/>
    <w:rPr>
      <w:color w:val="605E5C"/>
      <w:shd w:val="clear" w:color="auto" w:fill="E1DFDD"/>
    </w:rPr>
  </w:style>
  <w:style w:type="character" w:customStyle="1" w:styleId="Titolo1Carattere">
    <w:name w:val="Titolo 1 Carattere"/>
    <w:basedOn w:val="Carpredefinitoparagrafo"/>
    <w:link w:val="Titolo1"/>
    <w:uiPriority w:val="9"/>
    <w:rsid w:val="00AC4992"/>
    <w:rPr>
      <w:rFonts w:ascii="Tahoma" w:eastAsia="Times New Roman" w:hAnsi="Tahoma" w:cs="Times New Roman"/>
      <w:b/>
      <w:bCs/>
      <w:color w:val="000000"/>
      <w:kern w:val="2"/>
      <w:sz w:val="32"/>
      <w:szCs w:val="28"/>
      <w:lang w:val="x-none" w:eastAsia="zh-CN"/>
    </w:rPr>
  </w:style>
  <w:style w:type="paragraph" w:styleId="Sottotitolo">
    <w:name w:val="Subtitle"/>
    <w:basedOn w:val="Normale"/>
    <w:next w:val="Normale"/>
    <w:link w:val="SottotitoloCarattere"/>
    <w:qFormat/>
    <w:rsid w:val="00B15171"/>
    <w:pPr>
      <w:spacing w:after="160" w:line="259" w:lineRule="auto"/>
    </w:pPr>
    <w:rPr>
      <w:rFonts w:ascii="Calibri" w:hAnsi="Calibri"/>
      <w:color w:val="5A5A5A"/>
      <w:sz w:val="20"/>
      <w:szCs w:val="20"/>
      <w:lang w:val="x-none" w:eastAsia="x-none"/>
    </w:rPr>
  </w:style>
  <w:style w:type="character" w:customStyle="1" w:styleId="SottotitoloCarattere">
    <w:name w:val="Sottotitolo Carattere"/>
    <w:basedOn w:val="Carpredefinitoparagrafo"/>
    <w:link w:val="Sottotitolo"/>
    <w:rsid w:val="00B15171"/>
    <w:rPr>
      <w:rFonts w:ascii="Calibri" w:eastAsia="Times New Roman" w:hAnsi="Calibri" w:cs="Times New Roman"/>
      <w:color w:val="5A5A5A"/>
      <w:sz w:val="20"/>
      <w:szCs w:val="20"/>
      <w:lang w:val="x-none" w:eastAsia="x-none"/>
    </w:rPr>
  </w:style>
  <w:style w:type="paragraph" w:styleId="Sommario1">
    <w:name w:val="toc 1"/>
    <w:basedOn w:val="Normale"/>
    <w:next w:val="Normale"/>
    <w:uiPriority w:val="39"/>
    <w:unhideWhenUsed/>
    <w:rsid w:val="00B15171"/>
    <w:pPr>
      <w:spacing w:after="100" w:line="259" w:lineRule="auto"/>
    </w:pPr>
    <w:rPr>
      <w:rFonts w:ascii="Calibri" w:eastAsia="Calibri" w:hAnsi="Calibri"/>
      <w:sz w:val="22"/>
      <w:szCs w:val="22"/>
      <w:lang w:eastAsia="en-US"/>
    </w:rPr>
  </w:style>
  <w:style w:type="paragraph" w:styleId="Sommario2">
    <w:name w:val="toc 2"/>
    <w:basedOn w:val="Normale"/>
    <w:next w:val="Normale"/>
    <w:uiPriority w:val="39"/>
    <w:unhideWhenUsed/>
    <w:rsid w:val="00B15171"/>
    <w:pPr>
      <w:spacing w:after="100" w:line="259" w:lineRule="auto"/>
      <w:ind w:left="220"/>
    </w:pPr>
    <w:rPr>
      <w:rFonts w:ascii="Calibri" w:eastAsia="Calibri" w:hAnsi="Calibri"/>
      <w:sz w:val="22"/>
      <w:szCs w:val="22"/>
      <w:lang w:eastAsia="en-US"/>
    </w:rPr>
  </w:style>
  <w:style w:type="paragraph" w:styleId="Corpotesto">
    <w:name w:val="Body Text"/>
    <w:basedOn w:val="Normale"/>
    <w:link w:val="CorpotestoCarattere"/>
    <w:rsid w:val="00B15171"/>
    <w:pPr>
      <w:suppressAutoHyphens/>
      <w:spacing w:after="120"/>
    </w:pPr>
    <w:rPr>
      <w:kern w:val="2"/>
      <w:lang w:val="x-none" w:eastAsia="zh-CN"/>
    </w:rPr>
  </w:style>
  <w:style w:type="character" w:customStyle="1" w:styleId="CorpotestoCarattere">
    <w:name w:val="Corpo testo Carattere"/>
    <w:basedOn w:val="Carpredefinitoparagrafo"/>
    <w:link w:val="Corpotesto"/>
    <w:rsid w:val="00B15171"/>
    <w:rPr>
      <w:rFonts w:ascii="Times New Roman" w:eastAsia="Times New Roman" w:hAnsi="Times New Roman" w:cs="Times New Roman"/>
      <w:kern w:val="2"/>
      <w:sz w:val="24"/>
      <w:szCs w:val="24"/>
      <w:lang w:val="x-none" w:eastAsia="zh-CN"/>
    </w:rPr>
  </w:style>
  <w:style w:type="paragraph" w:customStyle="1" w:styleId="Indice">
    <w:name w:val="Indice"/>
    <w:basedOn w:val="Normale"/>
    <w:rsid w:val="00B15171"/>
    <w:pPr>
      <w:suppressLineNumbers/>
      <w:suppressAutoHyphens/>
    </w:pPr>
    <w:rPr>
      <w:rFonts w:cs="Mangal"/>
      <w:kern w:val="2"/>
      <w:lang w:eastAsia="zh-CN"/>
    </w:rPr>
  </w:style>
  <w:style w:type="paragraph" w:styleId="NormaleWeb">
    <w:name w:val="Normal (Web)"/>
    <w:basedOn w:val="Normale"/>
    <w:uiPriority w:val="99"/>
    <w:unhideWhenUsed/>
    <w:rsid w:val="00B21B75"/>
    <w:pPr>
      <w:spacing w:before="100" w:beforeAutospacing="1" w:after="100" w:afterAutospacing="1"/>
    </w:pPr>
  </w:style>
  <w:style w:type="character" w:customStyle="1" w:styleId="Titolo4Carattere">
    <w:name w:val="Titolo 4 Carattere"/>
    <w:basedOn w:val="Carpredefinitoparagrafo"/>
    <w:link w:val="Titolo4"/>
    <w:uiPriority w:val="9"/>
    <w:semiHidden/>
    <w:rsid w:val="000A5632"/>
    <w:rPr>
      <w:rFonts w:asciiTheme="majorHAnsi" w:eastAsiaTheme="majorEastAsia" w:hAnsiTheme="majorHAnsi" w:cstheme="majorBidi"/>
      <w:i/>
      <w:iCs/>
      <w:color w:val="2E74B5" w:themeColor="accent1" w:themeShade="BF"/>
      <w:sz w:val="24"/>
      <w:szCs w:val="24"/>
      <w:lang w:eastAsia="it-IT"/>
    </w:rPr>
  </w:style>
  <w:style w:type="paragraph" w:styleId="Revisione">
    <w:name w:val="Revision"/>
    <w:hidden/>
    <w:uiPriority w:val="99"/>
    <w:semiHidden/>
    <w:rsid w:val="000875B7"/>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3168">
      <w:bodyDiv w:val="1"/>
      <w:marLeft w:val="0"/>
      <w:marRight w:val="0"/>
      <w:marTop w:val="0"/>
      <w:marBottom w:val="0"/>
      <w:divBdr>
        <w:top w:val="none" w:sz="0" w:space="0" w:color="auto"/>
        <w:left w:val="none" w:sz="0" w:space="0" w:color="auto"/>
        <w:bottom w:val="none" w:sz="0" w:space="0" w:color="auto"/>
        <w:right w:val="none" w:sz="0" w:space="0" w:color="auto"/>
      </w:divBdr>
      <w:divsChild>
        <w:div w:id="603029491">
          <w:marLeft w:val="432"/>
          <w:marRight w:val="0"/>
          <w:marTop w:val="86"/>
          <w:marBottom w:val="0"/>
          <w:divBdr>
            <w:top w:val="none" w:sz="0" w:space="0" w:color="auto"/>
            <w:left w:val="none" w:sz="0" w:space="0" w:color="auto"/>
            <w:bottom w:val="none" w:sz="0" w:space="0" w:color="auto"/>
            <w:right w:val="none" w:sz="0" w:space="0" w:color="auto"/>
          </w:divBdr>
        </w:div>
        <w:div w:id="1491560942">
          <w:marLeft w:val="432"/>
          <w:marRight w:val="0"/>
          <w:marTop w:val="86"/>
          <w:marBottom w:val="0"/>
          <w:divBdr>
            <w:top w:val="none" w:sz="0" w:space="0" w:color="auto"/>
            <w:left w:val="none" w:sz="0" w:space="0" w:color="auto"/>
            <w:bottom w:val="none" w:sz="0" w:space="0" w:color="auto"/>
            <w:right w:val="none" w:sz="0" w:space="0" w:color="auto"/>
          </w:divBdr>
        </w:div>
      </w:divsChild>
    </w:div>
    <w:div w:id="105469296">
      <w:bodyDiv w:val="1"/>
      <w:marLeft w:val="0"/>
      <w:marRight w:val="0"/>
      <w:marTop w:val="0"/>
      <w:marBottom w:val="0"/>
      <w:divBdr>
        <w:top w:val="none" w:sz="0" w:space="0" w:color="auto"/>
        <w:left w:val="none" w:sz="0" w:space="0" w:color="auto"/>
        <w:bottom w:val="none" w:sz="0" w:space="0" w:color="auto"/>
        <w:right w:val="none" w:sz="0" w:space="0" w:color="auto"/>
      </w:divBdr>
    </w:div>
    <w:div w:id="158548871">
      <w:bodyDiv w:val="1"/>
      <w:marLeft w:val="0"/>
      <w:marRight w:val="0"/>
      <w:marTop w:val="0"/>
      <w:marBottom w:val="0"/>
      <w:divBdr>
        <w:top w:val="none" w:sz="0" w:space="0" w:color="auto"/>
        <w:left w:val="none" w:sz="0" w:space="0" w:color="auto"/>
        <w:bottom w:val="none" w:sz="0" w:space="0" w:color="auto"/>
        <w:right w:val="none" w:sz="0" w:space="0" w:color="auto"/>
      </w:divBdr>
    </w:div>
    <w:div w:id="191381522">
      <w:bodyDiv w:val="1"/>
      <w:marLeft w:val="0"/>
      <w:marRight w:val="0"/>
      <w:marTop w:val="0"/>
      <w:marBottom w:val="0"/>
      <w:divBdr>
        <w:top w:val="none" w:sz="0" w:space="0" w:color="auto"/>
        <w:left w:val="none" w:sz="0" w:space="0" w:color="auto"/>
        <w:bottom w:val="none" w:sz="0" w:space="0" w:color="auto"/>
        <w:right w:val="none" w:sz="0" w:space="0" w:color="auto"/>
      </w:divBdr>
      <w:divsChild>
        <w:div w:id="1484007133">
          <w:marLeft w:val="432"/>
          <w:marRight w:val="0"/>
          <w:marTop w:val="96"/>
          <w:marBottom w:val="0"/>
          <w:divBdr>
            <w:top w:val="none" w:sz="0" w:space="0" w:color="auto"/>
            <w:left w:val="none" w:sz="0" w:space="0" w:color="auto"/>
            <w:bottom w:val="none" w:sz="0" w:space="0" w:color="auto"/>
            <w:right w:val="none" w:sz="0" w:space="0" w:color="auto"/>
          </w:divBdr>
        </w:div>
      </w:divsChild>
    </w:div>
    <w:div w:id="195849200">
      <w:bodyDiv w:val="1"/>
      <w:marLeft w:val="0"/>
      <w:marRight w:val="0"/>
      <w:marTop w:val="0"/>
      <w:marBottom w:val="0"/>
      <w:divBdr>
        <w:top w:val="none" w:sz="0" w:space="0" w:color="auto"/>
        <w:left w:val="none" w:sz="0" w:space="0" w:color="auto"/>
        <w:bottom w:val="none" w:sz="0" w:space="0" w:color="auto"/>
        <w:right w:val="none" w:sz="0" w:space="0" w:color="auto"/>
      </w:divBdr>
    </w:div>
    <w:div w:id="207112967">
      <w:bodyDiv w:val="1"/>
      <w:marLeft w:val="0"/>
      <w:marRight w:val="0"/>
      <w:marTop w:val="0"/>
      <w:marBottom w:val="0"/>
      <w:divBdr>
        <w:top w:val="none" w:sz="0" w:space="0" w:color="auto"/>
        <w:left w:val="none" w:sz="0" w:space="0" w:color="auto"/>
        <w:bottom w:val="none" w:sz="0" w:space="0" w:color="auto"/>
        <w:right w:val="none" w:sz="0" w:space="0" w:color="auto"/>
      </w:divBdr>
    </w:div>
    <w:div w:id="212086179">
      <w:bodyDiv w:val="1"/>
      <w:marLeft w:val="0"/>
      <w:marRight w:val="0"/>
      <w:marTop w:val="0"/>
      <w:marBottom w:val="0"/>
      <w:divBdr>
        <w:top w:val="none" w:sz="0" w:space="0" w:color="auto"/>
        <w:left w:val="none" w:sz="0" w:space="0" w:color="auto"/>
        <w:bottom w:val="none" w:sz="0" w:space="0" w:color="auto"/>
        <w:right w:val="none" w:sz="0" w:space="0" w:color="auto"/>
      </w:divBdr>
    </w:div>
    <w:div w:id="369309235">
      <w:bodyDiv w:val="1"/>
      <w:marLeft w:val="0"/>
      <w:marRight w:val="0"/>
      <w:marTop w:val="0"/>
      <w:marBottom w:val="0"/>
      <w:divBdr>
        <w:top w:val="none" w:sz="0" w:space="0" w:color="auto"/>
        <w:left w:val="none" w:sz="0" w:space="0" w:color="auto"/>
        <w:bottom w:val="none" w:sz="0" w:space="0" w:color="auto"/>
        <w:right w:val="none" w:sz="0" w:space="0" w:color="auto"/>
      </w:divBdr>
      <w:divsChild>
        <w:div w:id="1450783541">
          <w:marLeft w:val="432"/>
          <w:marRight w:val="0"/>
          <w:marTop w:val="86"/>
          <w:marBottom w:val="0"/>
          <w:divBdr>
            <w:top w:val="none" w:sz="0" w:space="0" w:color="auto"/>
            <w:left w:val="none" w:sz="0" w:space="0" w:color="auto"/>
            <w:bottom w:val="none" w:sz="0" w:space="0" w:color="auto"/>
            <w:right w:val="none" w:sz="0" w:space="0" w:color="auto"/>
          </w:divBdr>
        </w:div>
      </w:divsChild>
    </w:div>
    <w:div w:id="389888130">
      <w:bodyDiv w:val="1"/>
      <w:marLeft w:val="0"/>
      <w:marRight w:val="0"/>
      <w:marTop w:val="0"/>
      <w:marBottom w:val="0"/>
      <w:divBdr>
        <w:top w:val="none" w:sz="0" w:space="0" w:color="auto"/>
        <w:left w:val="none" w:sz="0" w:space="0" w:color="auto"/>
        <w:bottom w:val="none" w:sz="0" w:space="0" w:color="auto"/>
        <w:right w:val="none" w:sz="0" w:space="0" w:color="auto"/>
      </w:divBdr>
      <w:divsChild>
        <w:div w:id="1404374778">
          <w:marLeft w:val="0"/>
          <w:marRight w:val="0"/>
          <w:marTop w:val="0"/>
          <w:marBottom w:val="150"/>
          <w:divBdr>
            <w:top w:val="none" w:sz="0" w:space="0" w:color="auto"/>
            <w:left w:val="none" w:sz="0" w:space="0" w:color="auto"/>
            <w:bottom w:val="none" w:sz="0" w:space="0" w:color="auto"/>
            <w:right w:val="none" w:sz="0" w:space="0" w:color="auto"/>
          </w:divBdr>
        </w:div>
        <w:div w:id="131871194">
          <w:marLeft w:val="0"/>
          <w:marRight w:val="0"/>
          <w:marTop w:val="0"/>
          <w:marBottom w:val="300"/>
          <w:divBdr>
            <w:top w:val="none" w:sz="0" w:space="0" w:color="auto"/>
            <w:left w:val="none" w:sz="0" w:space="0" w:color="auto"/>
            <w:bottom w:val="none" w:sz="0" w:space="0" w:color="auto"/>
            <w:right w:val="none" w:sz="0" w:space="0" w:color="auto"/>
          </w:divBdr>
        </w:div>
        <w:div w:id="483788658">
          <w:marLeft w:val="0"/>
          <w:marRight w:val="0"/>
          <w:marTop w:val="0"/>
          <w:marBottom w:val="300"/>
          <w:divBdr>
            <w:top w:val="none" w:sz="0" w:space="0" w:color="auto"/>
            <w:left w:val="none" w:sz="0" w:space="0" w:color="auto"/>
            <w:bottom w:val="none" w:sz="0" w:space="0" w:color="auto"/>
            <w:right w:val="none" w:sz="0" w:space="0" w:color="auto"/>
          </w:divBdr>
        </w:div>
        <w:div w:id="962535555">
          <w:marLeft w:val="0"/>
          <w:marRight w:val="0"/>
          <w:marTop w:val="0"/>
          <w:marBottom w:val="300"/>
          <w:divBdr>
            <w:top w:val="none" w:sz="0" w:space="0" w:color="auto"/>
            <w:left w:val="none" w:sz="0" w:space="0" w:color="auto"/>
            <w:bottom w:val="none" w:sz="0" w:space="0" w:color="auto"/>
            <w:right w:val="none" w:sz="0" w:space="0" w:color="auto"/>
          </w:divBdr>
        </w:div>
        <w:div w:id="1135178653">
          <w:marLeft w:val="0"/>
          <w:marRight w:val="0"/>
          <w:marTop w:val="0"/>
          <w:marBottom w:val="300"/>
          <w:divBdr>
            <w:top w:val="none" w:sz="0" w:space="0" w:color="auto"/>
            <w:left w:val="none" w:sz="0" w:space="0" w:color="auto"/>
            <w:bottom w:val="none" w:sz="0" w:space="0" w:color="auto"/>
            <w:right w:val="none" w:sz="0" w:space="0" w:color="auto"/>
          </w:divBdr>
        </w:div>
        <w:div w:id="2101363525">
          <w:marLeft w:val="0"/>
          <w:marRight w:val="0"/>
          <w:marTop w:val="0"/>
          <w:marBottom w:val="300"/>
          <w:divBdr>
            <w:top w:val="none" w:sz="0" w:space="0" w:color="auto"/>
            <w:left w:val="none" w:sz="0" w:space="0" w:color="auto"/>
            <w:bottom w:val="none" w:sz="0" w:space="0" w:color="auto"/>
            <w:right w:val="none" w:sz="0" w:space="0" w:color="auto"/>
          </w:divBdr>
        </w:div>
        <w:div w:id="1372805632">
          <w:marLeft w:val="0"/>
          <w:marRight w:val="0"/>
          <w:marTop w:val="0"/>
          <w:marBottom w:val="300"/>
          <w:divBdr>
            <w:top w:val="none" w:sz="0" w:space="0" w:color="auto"/>
            <w:left w:val="none" w:sz="0" w:space="0" w:color="auto"/>
            <w:bottom w:val="none" w:sz="0" w:space="0" w:color="auto"/>
            <w:right w:val="none" w:sz="0" w:space="0" w:color="auto"/>
          </w:divBdr>
        </w:div>
        <w:div w:id="1332179378">
          <w:marLeft w:val="0"/>
          <w:marRight w:val="0"/>
          <w:marTop w:val="0"/>
          <w:marBottom w:val="300"/>
          <w:divBdr>
            <w:top w:val="none" w:sz="0" w:space="0" w:color="auto"/>
            <w:left w:val="none" w:sz="0" w:space="0" w:color="auto"/>
            <w:bottom w:val="none" w:sz="0" w:space="0" w:color="auto"/>
            <w:right w:val="none" w:sz="0" w:space="0" w:color="auto"/>
          </w:divBdr>
        </w:div>
        <w:div w:id="1398018517">
          <w:marLeft w:val="0"/>
          <w:marRight w:val="0"/>
          <w:marTop w:val="0"/>
          <w:marBottom w:val="300"/>
          <w:divBdr>
            <w:top w:val="none" w:sz="0" w:space="0" w:color="auto"/>
            <w:left w:val="none" w:sz="0" w:space="0" w:color="auto"/>
            <w:bottom w:val="none" w:sz="0" w:space="0" w:color="auto"/>
            <w:right w:val="none" w:sz="0" w:space="0" w:color="auto"/>
          </w:divBdr>
        </w:div>
      </w:divsChild>
    </w:div>
    <w:div w:id="498930489">
      <w:bodyDiv w:val="1"/>
      <w:marLeft w:val="0"/>
      <w:marRight w:val="0"/>
      <w:marTop w:val="0"/>
      <w:marBottom w:val="0"/>
      <w:divBdr>
        <w:top w:val="none" w:sz="0" w:space="0" w:color="auto"/>
        <w:left w:val="none" w:sz="0" w:space="0" w:color="auto"/>
        <w:bottom w:val="none" w:sz="0" w:space="0" w:color="auto"/>
        <w:right w:val="none" w:sz="0" w:space="0" w:color="auto"/>
      </w:divBdr>
    </w:div>
    <w:div w:id="514417931">
      <w:bodyDiv w:val="1"/>
      <w:marLeft w:val="0"/>
      <w:marRight w:val="0"/>
      <w:marTop w:val="0"/>
      <w:marBottom w:val="0"/>
      <w:divBdr>
        <w:top w:val="none" w:sz="0" w:space="0" w:color="auto"/>
        <w:left w:val="none" w:sz="0" w:space="0" w:color="auto"/>
        <w:bottom w:val="none" w:sz="0" w:space="0" w:color="auto"/>
        <w:right w:val="none" w:sz="0" w:space="0" w:color="auto"/>
      </w:divBdr>
    </w:div>
    <w:div w:id="549074676">
      <w:bodyDiv w:val="1"/>
      <w:marLeft w:val="0"/>
      <w:marRight w:val="0"/>
      <w:marTop w:val="0"/>
      <w:marBottom w:val="0"/>
      <w:divBdr>
        <w:top w:val="none" w:sz="0" w:space="0" w:color="auto"/>
        <w:left w:val="none" w:sz="0" w:space="0" w:color="auto"/>
        <w:bottom w:val="none" w:sz="0" w:space="0" w:color="auto"/>
        <w:right w:val="none" w:sz="0" w:space="0" w:color="auto"/>
      </w:divBdr>
    </w:div>
    <w:div w:id="684134416">
      <w:bodyDiv w:val="1"/>
      <w:marLeft w:val="0"/>
      <w:marRight w:val="0"/>
      <w:marTop w:val="0"/>
      <w:marBottom w:val="0"/>
      <w:divBdr>
        <w:top w:val="none" w:sz="0" w:space="0" w:color="auto"/>
        <w:left w:val="none" w:sz="0" w:space="0" w:color="auto"/>
        <w:bottom w:val="none" w:sz="0" w:space="0" w:color="auto"/>
        <w:right w:val="none" w:sz="0" w:space="0" w:color="auto"/>
      </w:divBdr>
    </w:div>
    <w:div w:id="794952391">
      <w:bodyDiv w:val="1"/>
      <w:marLeft w:val="0"/>
      <w:marRight w:val="0"/>
      <w:marTop w:val="0"/>
      <w:marBottom w:val="0"/>
      <w:divBdr>
        <w:top w:val="none" w:sz="0" w:space="0" w:color="auto"/>
        <w:left w:val="none" w:sz="0" w:space="0" w:color="auto"/>
        <w:bottom w:val="none" w:sz="0" w:space="0" w:color="auto"/>
        <w:right w:val="none" w:sz="0" w:space="0" w:color="auto"/>
      </w:divBdr>
    </w:div>
    <w:div w:id="809244986">
      <w:bodyDiv w:val="1"/>
      <w:marLeft w:val="0"/>
      <w:marRight w:val="0"/>
      <w:marTop w:val="0"/>
      <w:marBottom w:val="0"/>
      <w:divBdr>
        <w:top w:val="none" w:sz="0" w:space="0" w:color="auto"/>
        <w:left w:val="none" w:sz="0" w:space="0" w:color="auto"/>
        <w:bottom w:val="none" w:sz="0" w:space="0" w:color="auto"/>
        <w:right w:val="none" w:sz="0" w:space="0" w:color="auto"/>
      </w:divBdr>
    </w:div>
    <w:div w:id="842741279">
      <w:bodyDiv w:val="1"/>
      <w:marLeft w:val="0"/>
      <w:marRight w:val="0"/>
      <w:marTop w:val="0"/>
      <w:marBottom w:val="0"/>
      <w:divBdr>
        <w:top w:val="none" w:sz="0" w:space="0" w:color="auto"/>
        <w:left w:val="none" w:sz="0" w:space="0" w:color="auto"/>
        <w:bottom w:val="none" w:sz="0" w:space="0" w:color="auto"/>
        <w:right w:val="none" w:sz="0" w:space="0" w:color="auto"/>
      </w:divBdr>
    </w:div>
    <w:div w:id="863589817">
      <w:bodyDiv w:val="1"/>
      <w:marLeft w:val="0"/>
      <w:marRight w:val="0"/>
      <w:marTop w:val="0"/>
      <w:marBottom w:val="0"/>
      <w:divBdr>
        <w:top w:val="none" w:sz="0" w:space="0" w:color="auto"/>
        <w:left w:val="none" w:sz="0" w:space="0" w:color="auto"/>
        <w:bottom w:val="none" w:sz="0" w:space="0" w:color="auto"/>
        <w:right w:val="none" w:sz="0" w:space="0" w:color="auto"/>
      </w:divBdr>
    </w:div>
    <w:div w:id="971907414">
      <w:bodyDiv w:val="1"/>
      <w:marLeft w:val="0"/>
      <w:marRight w:val="0"/>
      <w:marTop w:val="0"/>
      <w:marBottom w:val="0"/>
      <w:divBdr>
        <w:top w:val="none" w:sz="0" w:space="0" w:color="auto"/>
        <w:left w:val="none" w:sz="0" w:space="0" w:color="auto"/>
        <w:bottom w:val="none" w:sz="0" w:space="0" w:color="auto"/>
        <w:right w:val="none" w:sz="0" w:space="0" w:color="auto"/>
      </w:divBdr>
    </w:div>
    <w:div w:id="1110710224">
      <w:bodyDiv w:val="1"/>
      <w:marLeft w:val="0"/>
      <w:marRight w:val="0"/>
      <w:marTop w:val="0"/>
      <w:marBottom w:val="0"/>
      <w:divBdr>
        <w:top w:val="none" w:sz="0" w:space="0" w:color="auto"/>
        <w:left w:val="none" w:sz="0" w:space="0" w:color="auto"/>
        <w:bottom w:val="none" w:sz="0" w:space="0" w:color="auto"/>
        <w:right w:val="none" w:sz="0" w:space="0" w:color="auto"/>
      </w:divBdr>
    </w:div>
    <w:div w:id="1137259136">
      <w:bodyDiv w:val="1"/>
      <w:marLeft w:val="0"/>
      <w:marRight w:val="0"/>
      <w:marTop w:val="0"/>
      <w:marBottom w:val="0"/>
      <w:divBdr>
        <w:top w:val="none" w:sz="0" w:space="0" w:color="auto"/>
        <w:left w:val="none" w:sz="0" w:space="0" w:color="auto"/>
        <w:bottom w:val="none" w:sz="0" w:space="0" w:color="auto"/>
        <w:right w:val="none" w:sz="0" w:space="0" w:color="auto"/>
      </w:divBdr>
    </w:div>
    <w:div w:id="1198005946">
      <w:bodyDiv w:val="1"/>
      <w:marLeft w:val="0"/>
      <w:marRight w:val="0"/>
      <w:marTop w:val="0"/>
      <w:marBottom w:val="0"/>
      <w:divBdr>
        <w:top w:val="none" w:sz="0" w:space="0" w:color="auto"/>
        <w:left w:val="none" w:sz="0" w:space="0" w:color="auto"/>
        <w:bottom w:val="none" w:sz="0" w:space="0" w:color="auto"/>
        <w:right w:val="none" w:sz="0" w:space="0" w:color="auto"/>
      </w:divBdr>
    </w:div>
    <w:div w:id="1232539867">
      <w:bodyDiv w:val="1"/>
      <w:marLeft w:val="0"/>
      <w:marRight w:val="0"/>
      <w:marTop w:val="0"/>
      <w:marBottom w:val="0"/>
      <w:divBdr>
        <w:top w:val="none" w:sz="0" w:space="0" w:color="auto"/>
        <w:left w:val="none" w:sz="0" w:space="0" w:color="auto"/>
        <w:bottom w:val="none" w:sz="0" w:space="0" w:color="auto"/>
        <w:right w:val="none" w:sz="0" w:space="0" w:color="auto"/>
      </w:divBdr>
    </w:div>
    <w:div w:id="1246498475">
      <w:bodyDiv w:val="1"/>
      <w:marLeft w:val="0"/>
      <w:marRight w:val="0"/>
      <w:marTop w:val="0"/>
      <w:marBottom w:val="0"/>
      <w:divBdr>
        <w:top w:val="none" w:sz="0" w:space="0" w:color="auto"/>
        <w:left w:val="none" w:sz="0" w:space="0" w:color="auto"/>
        <w:bottom w:val="none" w:sz="0" w:space="0" w:color="auto"/>
        <w:right w:val="none" w:sz="0" w:space="0" w:color="auto"/>
      </w:divBdr>
      <w:divsChild>
        <w:div w:id="1692103982">
          <w:marLeft w:val="432"/>
          <w:marRight w:val="0"/>
          <w:marTop w:val="115"/>
          <w:marBottom w:val="0"/>
          <w:divBdr>
            <w:top w:val="none" w:sz="0" w:space="0" w:color="auto"/>
            <w:left w:val="none" w:sz="0" w:space="0" w:color="auto"/>
            <w:bottom w:val="none" w:sz="0" w:space="0" w:color="auto"/>
            <w:right w:val="none" w:sz="0" w:space="0" w:color="auto"/>
          </w:divBdr>
        </w:div>
        <w:div w:id="1887136299">
          <w:marLeft w:val="432"/>
          <w:marRight w:val="0"/>
          <w:marTop w:val="115"/>
          <w:marBottom w:val="0"/>
          <w:divBdr>
            <w:top w:val="none" w:sz="0" w:space="0" w:color="auto"/>
            <w:left w:val="none" w:sz="0" w:space="0" w:color="auto"/>
            <w:bottom w:val="none" w:sz="0" w:space="0" w:color="auto"/>
            <w:right w:val="none" w:sz="0" w:space="0" w:color="auto"/>
          </w:divBdr>
        </w:div>
        <w:div w:id="1370952963">
          <w:marLeft w:val="432"/>
          <w:marRight w:val="0"/>
          <w:marTop w:val="115"/>
          <w:marBottom w:val="0"/>
          <w:divBdr>
            <w:top w:val="none" w:sz="0" w:space="0" w:color="auto"/>
            <w:left w:val="none" w:sz="0" w:space="0" w:color="auto"/>
            <w:bottom w:val="none" w:sz="0" w:space="0" w:color="auto"/>
            <w:right w:val="none" w:sz="0" w:space="0" w:color="auto"/>
          </w:divBdr>
        </w:div>
        <w:div w:id="1387145788">
          <w:marLeft w:val="432"/>
          <w:marRight w:val="0"/>
          <w:marTop w:val="115"/>
          <w:marBottom w:val="0"/>
          <w:divBdr>
            <w:top w:val="none" w:sz="0" w:space="0" w:color="auto"/>
            <w:left w:val="none" w:sz="0" w:space="0" w:color="auto"/>
            <w:bottom w:val="none" w:sz="0" w:space="0" w:color="auto"/>
            <w:right w:val="none" w:sz="0" w:space="0" w:color="auto"/>
          </w:divBdr>
        </w:div>
      </w:divsChild>
    </w:div>
    <w:div w:id="1281182584">
      <w:bodyDiv w:val="1"/>
      <w:marLeft w:val="0"/>
      <w:marRight w:val="0"/>
      <w:marTop w:val="0"/>
      <w:marBottom w:val="0"/>
      <w:divBdr>
        <w:top w:val="none" w:sz="0" w:space="0" w:color="auto"/>
        <w:left w:val="none" w:sz="0" w:space="0" w:color="auto"/>
        <w:bottom w:val="none" w:sz="0" w:space="0" w:color="auto"/>
        <w:right w:val="none" w:sz="0" w:space="0" w:color="auto"/>
      </w:divBdr>
      <w:divsChild>
        <w:div w:id="622272197">
          <w:marLeft w:val="432"/>
          <w:marRight w:val="0"/>
          <w:marTop w:val="115"/>
          <w:marBottom w:val="0"/>
          <w:divBdr>
            <w:top w:val="none" w:sz="0" w:space="0" w:color="auto"/>
            <w:left w:val="none" w:sz="0" w:space="0" w:color="auto"/>
            <w:bottom w:val="none" w:sz="0" w:space="0" w:color="auto"/>
            <w:right w:val="none" w:sz="0" w:space="0" w:color="auto"/>
          </w:divBdr>
        </w:div>
        <w:div w:id="2086998860">
          <w:marLeft w:val="432"/>
          <w:marRight w:val="0"/>
          <w:marTop w:val="115"/>
          <w:marBottom w:val="0"/>
          <w:divBdr>
            <w:top w:val="none" w:sz="0" w:space="0" w:color="auto"/>
            <w:left w:val="none" w:sz="0" w:space="0" w:color="auto"/>
            <w:bottom w:val="none" w:sz="0" w:space="0" w:color="auto"/>
            <w:right w:val="none" w:sz="0" w:space="0" w:color="auto"/>
          </w:divBdr>
        </w:div>
        <w:div w:id="67240287">
          <w:marLeft w:val="432"/>
          <w:marRight w:val="0"/>
          <w:marTop w:val="115"/>
          <w:marBottom w:val="0"/>
          <w:divBdr>
            <w:top w:val="none" w:sz="0" w:space="0" w:color="auto"/>
            <w:left w:val="none" w:sz="0" w:space="0" w:color="auto"/>
            <w:bottom w:val="none" w:sz="0" w:space="0" w:color="auto"/>
            <w:right w:val="none" w:sz="0" w:space="0" w:color="auto"/>
          </w:divBdr>
        </w:div>
        <w:div w:id="666129553">
          <w:marLeft w:val="432"/>
          <w:marRight w:val="0"/>
          <w:marTop w:val="115"/>
          <w:marBottom w:val="0"/>
          <w:divBdr>
            <w:top w:val="none" w:sz="0" w:space="0" w:color="auto"/>
            <w:left w:val="none" w:sz="0" w:space="0" w:color="auto"/>
            <w:bottom w:val="none" w:sz="0" w:space="0" w:color="auto"/>
            <w:right w:val="none" w:sz="0" w:space="0" w:color="auto"/>
          </w:divBdr>
        </w:div>
        <w:div w:id="296031886">
          <w:marLeft w:val="432"/>
          <w:marRight w:val="0"/>
          <w:marTop w:val="115"/>
          <w:marBottom w:val="0"/>
          <w:divBdr>
            <w:top w:val="none" w:sz="0" w:space="0" w:color="auto"/>
            <w:left w:val="none" w:sz="0" w:space="0" w:color="auto"/>
            <w:bottom w:val="none" w:sz="0" w:space="0" w:color="auto"/>
            <w:right w:val="none" w:sz="0" w:space="0" w:color="auto"/>
          </w:divBdr>
        </w:div>
        <w:div w:id="1985502663">
          <w:marLeft w:val="432"/>
          <w:marRight w:val="0"/>
          <w:marTop w:val="115"/>
          <w:marBottom w:val="0"/>
          <w:divBdr>
            <w:top w:val="none" w:sz="0" w:space="0" w:color="auto"/>
            <w:left w:val="none" w:sz="0" w:space="0" w:color="auto"/>
            <w:bottom w:val="none" w:sz="0" w:space="0" w:color="auto"/>
            <w:right w:val="none" w:sz="0" w:space="0" w:color="auto"/>
          </w:divBdr>
        </w:div>
      </w:divsChild>
    </w:div>
    <w:div w:id="1281257371">
      <w:bodyDiv w:val="1"/>
      <w:marLeft w:val="0"/>
      <w:marRight w:val="0"/>
      <w:marTop w:val="0"/>
      <w:marBottom w:val="0"/>
      <w:divBdr>
        <w:top w:val="none" w:sz="0" w:space="0" w:color="auto"/>
        <w:left w:val="none" w:sz="0" w:space="0" w:color="auto"/>
        <w:bottom w:val="none" w:sz="0" w:space="0" w:color="auto"/>
        <w:right w:val="none" w:sz="0" w:space="0" w:color="auto"/>
      </w:divBdr>
    </w:div>
    <w:div w:id="1472864211">
      <w:bodyDiv w:val="1"/>
      <w:marLeft w:val="0"/>
      <w:marRight w:val="0"/>
      <w:marTop w:val="0"/>
      <w:marBottom w:val="0"/>
      <w:divBdr>
        <w:top w:val="none" w:sz="0" w:space="0" w:color="auto"/>
        <w:left w:val="none" w:sz="0" w:space="0" w:color="auto"/>
        <w:bottom w:val="none" w:sz="0" w:space="0" w:color="auto"/>
        <w:right w:val="none" w:sz="0" w:space="0" w:color="auto"/>
      </w:divBdr>
    </w:div>
    <w:div w:id="1535533948">
      <w:bodyDiv w:val="1"/>
      <w:marLeft w:val="0"/>
      <w:marRight w:val="0"/>
      <w:marTop w:val="0"/>
      <w:marBottom w:val="0"/>
      <w:divBdr>
        <w:top w:val="none" w:sz="0" w:space="0" w:color="auto"/>
        <w:left w:val="none" w:sz="0" w:space="0" w:color="auto"/>
        <w:bottom w:val="none" w:sz="0" w:space="0" w:color="auto"/>
        <w:right w:val="none" w:sz="0" w:space="0" w:color="auto"/>
      </w:divBdr>
    </w:div>
    <w:div w:id="1605266366">
      <w:bodyDiv w:val="1"/>
      <w:marLeft w:val="0"/>
      <w:marRight w:val="0"/>
      <w:marTop w:val="0"/>
      <w:marBottom w:val="0"/>
      <w:divBdr>
        <w:top w:val="none" w:sz="0" w:space="0" w:color="auto"/>
        <w:left w:val="none" w:sz="0" w:space="0" w:color="auto"/>
        <w:bottom w:val="none" w:sz="0" w:space="0" w:color="auto"/>
        <w:right w:val="none" w:sz="0" w:space="0" w:color="auto"/>
      </w:divBdr>
    </w:div>
    <w:div w:id="1639261792">
      <w:bodyDiv w:val="1"/>
      <w:marLeft w:val="0"/>
      <w:marRight w:val="0"/>
      <w:marTop w:val="0"/>
      <w:marBottom w:val="0"/>
      <w:divBdr>
        <w:top w:val="none" w:sz="0" w:space="0" w:color="auto"/>
        <w:left w:val="none" w:sz="0" w:space="0" w:color="auto"/>
        <w:bottom w:val="none" w:sz="0" w:space="0" w:color="auto"/>
        <w:right w:val="none" w:sz="0" w:space="0" w:color="auto"/>
      </w:divBdr>
    </w:div>
    <w:div w:id="1679651822">
      <w:bodyDiv w:val="1"/>
      <w:marLeft w:val="0"/>
      <w:marRight w:val="0"/>
      <w:marTop w:val="0"/>
      <w:marBottom w:val="0"/>
      <w:divBdr>
        <w:top w:val="none" w:sz="0" w:space="0" w:color="auto"/>
        <w:left w:val="none" w:sz="0" w:space="0" w:color="auto"/>
        <w:bottom w:val="none" w:sz="0" w:space="0" w:color="auto"/>
        <w:right w:val="none" w:sz="0" w:space="0" w:color="auto"/>
      </w:divBdr>
      <w:divsChild>
        <w:div w:id="1834829730">
          <w:marLeft w:val="432"/>
          <w:marRight w:val="0"/>
          <w:marTop w:val="86"/>
          <w:marBottom w:val="0"/>
          <w:divBdr>
            <w:top w:val="none" w:sz="0" w:space="0" w:color="auto"/>
            <w:left w:val="none" w:sz="0" w:space="0" w:color="auto"/>
            <w:bottom w:val="none" w:sz="0" w:space="0" w:color="auto"/>
            <w:right w:val="none" w:sz="0" w:space="0" w:color="auto"/>
          </w:divBdr>
        </w:div>
        <w:div w:id="64112778">
          <w:marLeft w:val="432"/>
          <w:marRight w:val="0"/>
          <w:marTop w:val="86"/>
          <w:marBottom w:val="0"/>
          <w:divBdr>
            <w:top w:val="none" w:sz="0" w:space="0" w:color="auto"/>
            <w:left w:val="none" w:sz="0" w:space="0" w:color="auto"/>
            <w:bottom w:val="none" w:sz="0" w:space="0" w:color="auto"/>
            <w:right w:val="none" w:sz="0" w:space="0" w:color="auto"/>
          </w:divBdr>
        </w:div>
      </w:divsChild>
    </w:div>
    <w:div w:id="1709914779">
      <w:bodyDiv w:val="1"/>
      <w:marLeft w:val="0"/>
      <w:marRight w:val="0"/>
      <w:marTop w:val="0"/>
      <w:marBottom w:val="0"/>
      <w:divBdr>
        <w:top w:val="none" w:sz="0" w:space="0" w:color="auto"/>
        <w:left w:val="none" w:sz="0" w:space="0" w:color="auto"/>
        <w:bottom w:val="none" w:sz="0" w:space="0" w:color="auto"/>
        <w:right w:val="none" w:sz="0" w:space="0" w:color="auto"/>
      </w:divBdr>
    </w:div>
    <w:div w:id="1725786352">
      <w:bodyDiv w:val="1"/>
      <w:marLeft w:val="0"/>
      <w:marRight w:val="0"/>
      <w:marTop w:val="0"/>
      <w:marBottom w:val="0"/>
      <w:divBdr>
        <w:top w:val="none" w:sz="0" w:space="0" w:color="auto"/>
        <w:left w:val="none" w:sz="0" w:space="0" w:color="auto"/>
        <w:bottom w:val="none" w:sz="0" w:space="0" w:color="auto"/>
        <w:right w:val="none" w:sz="0" w:space="0" w:color="auto"/>
      </w:divBdr>
    </w:div>
    <w:div w:id="1733310776">
      <w:bodyDiv w:val="1"/>
      <w:marLeft w:val="0"/>
      <w:marRight w:val="0"/>
      <w:marTop w:val="0"/>
      <w:marBottom w:val="0"/>
      <w:divBdr>
        <w:top w:val="none" w:sz="0" w:space="0" w:color="auto"/>
        <w:left w:val="none" w:sz="0" w:space="0" w:color="auto"/>
        <w:bottom w:val="none" w:sz="0" w:space="0" w:color="auto"/>
        <w:right w:val="none" w:sz="0" w:space="0" w:color="auto"/>
      </w:divBdr>
    </w:div>
    <w:div w:id="1762337464">
      <w:bodyDiv w:val="1"/>
      <w:marLeft w:val="0"/>
      <w:marRight w:val="0"/>
      <w:marTop w:val="0"/>
      <w:marBottom w:val="0"/>
      <w:divBdr>
        <w:top w:val="none" w:sz="0" w:space="0" w:color="auto"/>
        <w:left w:val="none" w:sz="0" w:space="0" w:color="auto"/>
        <w:bottom w:val="none" w:sz="0" w:space="0" w:color="auto"/>
        <w:right w:val="none" w:sz="0" w:space="0" w:color="auto"/>
      </w:divBdr>
    </w:div>
    <w:div w:id="1769807754">
      <w:bodyDiv w:val="1"/>
      <w:marLeft w:val="0"/>
      <w:marRight w:val="0"/>
      <w:marTop w:val="0"/>
      <w:marBottom w:val="0"/>
      <w:divBdr>
        <w:top w:val="none" w:sz="0" w:space="0" w:color="auto"/>
        <w:left w:val="none" w:sz="0" w:space="0" w:color="auto"/>
        <w:bottom w:val="none" w:sz="0" w:space="0" w:color="auto"/>
        <w:right w:val="none" w:sz="0" w:space="0" w:color="auto"/>
      </w:divBdr>
    </w:div>
    <w:div w:id="1950312405">
      <w:bodyDiv w:val="1"/>
      <w:marLeft w:val="0"/>
      <w:marRight w:val="0"/>
      <w:marTop w:val="0"/>
      <w:marBottom w:val="0"/>
      <w:divBdr>
        <w:top w:val="none" w:sz="0" w:space="0" w:color="auto"/>
        <w:left w:val="none" w:sz="0" w:space="0" w:color="auto"/>
        <w:bottom w:val="none" w:sz="0" w:space="0" w:color="auto"/>
        <w:right w:val="none" w:sz="0" w:space="0" w:color="auto"/>
      </w:divBdr>
    </w:div>
    <w:div w:id="205122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www.fiscoetasse.com/" TargetMode="External"/><Relationship Id="rId39" Type="http://schemas.openxmlformats.org/officeDocument/2006/relationships/hyperlink" Target="https://www.ricercagiuridica.com/codici/indice.php?codice=codice%20civile&amp;search=relazione"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header" Target="header11.xml"/><Relationship Id="rId38" Type="http://schemas.openxmlformats.org/officeDocument/2006/relationships/hyperlink" Target="https://www.ricercagiuridica.com/codici/indice.php?codice=codice%20civile&amp;search=sindacale"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hyperlink" Target="https://www.ricercagiuridica.com/codici/indice.php?codice=codice%20civile&amp;search=amministrato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yperlink" Target="https://www.ricercagiuridica.com/codici/indice.php?codice=codice%20civile&amp;search=collegio" TargetMode="External"/><Relationship Id="rId40" Type="http://schemas.openxmlformats.org/officeDocument/2006/relationships/hyperlink" Target="https://www.ricercagiuridica.com/codici/indice.php?codice=codice%20civile&amp;search=assemblea"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yperlink" Target="https://www.ricercagiuridica.com/codici/indice.php?codice=codice%20civile&amp;search=relazione" TargetMode="Externa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yperlink" Target="https://www.ricercagiuridica.com/codici/indice.php?codice=codice%20civile&amp;search=assemblea"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ricercagiuridica.com/codici/indice.php?codice=codice%20civile&amp;search=ipotesi" TargetMode="External"/><Relationship Id="rId2" Type="http://schemas.openxmlformats.org/officeDocument/2006/relationships/hyperlink" Target="https://www.ricercagiuridica.com/codici/indice.php?codice=codice%20civile&amp;search=articoli" TargetMode="External"/><Relationship Id="rId1" Type="http://schemas.openxmlformats.org/officeDocument/2006/relationships/hyperlink" Target="https://www.ricercagiuridica.com/codici/indice.php?codice=codice%20civile&amp;search=riduzione" TargetMode="External"/><Relationship Id="rId6" Type="http://schemas.openxmlformats.org/officeDocument/2006/relationships/hyperlink" Target="https://www.ricercagiuridica.com/codici/indice.php?codice=codice%20civile&amp;search=costitutivo" TargetMode="External"/><Relationship Id="rId5" Type="http://schemas.openxmlformats.org/officeDocument/2006/relationships/hyperlink" Target="https://www.ricercagiuridica.com/codici/indice.php?codice=codice%20civile&amp;search=deliberazione" TargetMode="External"/><Relationship Id="rId4" Type="http://schemas.openxmlformats.org/officeDocument/2006/relationships/hyperlink" Target="https://www.ricercagiuridica.com/codici/indice.php?codice=codice%20civile&amp;search=articol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5C529-C22E-40CD-A5CA-914578FE9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21786</Words>
  <Characters>124181</Characters>
  <Application>Microsoft Office Word</Application>
  <DocSecurity>0</DocSecurity>
  <Lines>1034</Lines>
  <Paragraphs>291</Paragraphs>
  <ScaleCrop>false</ScaleCrop>
  <HeadingPairs>
    <vt:vector size="2" baseType="variant">
      <vt:variant>
        <vt:lpstr>Titolo</vt:lpstr>
      </vt:variant>
      <vt:variant>
        <vt:i4>1</vt:i4>
      </vt:variant>
    </vt:vector>
  </HeadingPairs>
  <TitlesOfParts>
    <vt:vector size="1" baseType="lpstr">
      <vt:lpstr>I bilanci 2023</vt:lpstr>
    </vt:vector>
  </TitlesOfParts>
  <Company/>
  <LinksUpToDate>false</LinksUpToDate>
  <CharactersWithSpaces>145676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bilanci 2023</dc:title>
  <dc:subject/>
  <dc:creator>Stefano Pizzutelli</dc:creator>
  <cp:keywords/>
  <dc:description/>
  <cp:lastModifiedBy>Fisco Tasse</cp:lastModifiedBy>
  <cp:revision>2</cp:revision>
  <cp:lastPrinted>2024-03-15T07:33:00Z</cp:lastPrinted>
  <dcterms:created xsi:type="dcterms:W3CDTF">2024-03-15T10:40:00Z</dcterms:created>
  <dcterms:modified xsi:type="dcterms:W3CDTF">2024-03-15T10:40:00Z</dcterms:modified>
</cp:coreProperties>
</file>