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A785D5" w14:textId="48B45A22" w:rsidR="008D15F0" w:rsidRPr="001A3CAC" w:rsidRDefault="00DE4903" w:rsidP="00186726">
      <w:pPr>
        <w:pStyle w:val="Stile1"/>
        <w:spacing w:after="200"/>
        <w:rPr>
          <w:rFonts w:cs="Tahoma"/>
          <w:spacing w:val="0"/>
        </w:rPr>
        <w:sectPr w:rsidR="008D15F0" w:rsidRPr="001A3CAC" w:rsidSect="00471E5B">
          <w:headerReference w:type="default" r:id="rId8"/>
          <w:footerReference w:type="even" r:id="rId9"/>
          <w:footerReference w:type="default" r:id="rId10"/>
          <w:headerReference w:type="first" r:id="rId11"/>
          <w:footerReference w:type="first" r:id="rId12"/>
          <w:footnotePr>
            <w:numStart w:val="2"/>
          </w:footnotePr>
          <w:pgSz w:w="11906" w:h="16838" w:code="9"/>
          <w:pgMar w:top="1418" w:right="1418" w:bottom="510" w:left="1276" w:header="709" w:footer="1191" w:gutter="0"/>
          <w:pgNumType w:start="1" w:chapStyle="1"/>
          <w:cols w:space="708"/>
          <w:titlePg/>
          <w:docGrid w:linePitch="360"/>
        </w:sectPr>
      </w:pPr>
      <w:r>
        <w:rPr>
          <w:rFonts w:cs="Tahoma"/>
          <w:noProof/>
          <w:spacing w:val="0"/>
        </w:rPr>
        <w:drawing>
          <wp:anchor distT="0" distB="0" distL="114300" distR="114300" simplePos="0" relativeHeight="251686400" behindDoc="0" locked="0" layoutInCell="1" allowOverlap="1" wp14:anchorId="49F2B0DA" wp14:editId="049BEDE5">
            <wp:simplePos x="0" y="0"/>
            <wp:positionH relativeFrom="column">
              <wp:posOffset>-847725</wp:posOffset>
            </wp:positionH>
            <wp:positionV relativeFrom="paragraph">
              <wp:posOffset>-1087120</wp:posOffset>
            </wp:positionV>
            <wp:extent cx="7581664" cy="10723957"/>
            <wp:effectExtent l="0" t="0" r="635" b="1270"/>
            <wp:wrapNone/>
            <wp:docPr id="899332966" name="Immagine 1" descr="Immagine che contiene testo, schermata, Carattere, Stam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332966" name="Immagine 1" descr="Immagine che contiene testo, schermata, Carattere, Stampa&#10;&#10;Descrizione generata automaticamente"/>
                    <pic:cNvPicPr/>
                  </pic:nvPicPr>
                  <pic:blipFill>
                    <a:blip r:embed="rId13"/>
                    <a:stretch>
                      <a:fillRect/>
                    </a:stretch>
                  </pic:blipFill>
                  <pic:spPr>
                    <a:xfrm>
                      <a:off x="0" y="0"/>
                      <a:ext cx="7581664" cy="10723957"/>
                    </a:xfrm>
                    <a:prstGeom prst="rect">
                      <a:avLst/>
                    </a:prstGeom>
                  </pic:spPr>
                </pic:pic>
              </a:graphicData>
            </a:graphic>
            <wp14:sizeRelH relativeFrom="margin">
              <wp14:pctWidth>0</wp14:pctWidth>
            </wp14:sizeRelH>
            <wp14:sizeRelV relativeFrom="margin">
              <wp14:pctHeight>0</wp14:pctHeight>
            </wp14:sizeRelV>
          </wp:anchor>
        </w:drawing>
      </w:r>
    </w:p>
    <w:p w14:paraId="3AC60A88" w14:textId="77777777" w:rsidR="008D15F0" w:rsidRPr="00305AEB" w:rsidRDefault="008D15F0" w:rsidP="00186726">
      <w:pPr>
        <w:rPr>
          <w:rFonts w:cs="Tahoma"/>
          <w:sz w:val="28"/>
          <w:szCs w:val="28"/>
        </w:rPr>
      </w:pPr>
      <w:r w:rsidRPr="00305AEB">
        <w:rPr>
          <w:rFonts w:cs="Tahoma"/>
          <w:sz w:val="28"/>
          <w:szCs w:val="28"/>
        </w:rPr>
        <w:lastRenderedPageBreak/>
        <w:t>Diana Pérez Corradini</w:t>
      </w:r>
    </w:p>
    <w:p w14:paraId="61810F87" w14:textId="77777777" w:rsidR="00C10DD5" w:rsidRPr="00305AEB" w:rsidRDefault="00C10DD5" w:rsidP="00186726">
      <w:pPr>
        <w:pStyle w:val="Intestazione"/>
        <w:rPr>
          <w:rFonts w:cs="Tahoma"/>
          <w:color w:val="808080"/>
          <w:sz w:val="48"/>
          <w:szCs w:val="48"/>
        </w:rPr>
      </w:pPr>
    </w:p>
    <w:p w14:paraId="32A2CFE6" w14:textId="77777777" w:rsidR="008D15F0" w:rsidRPr="00186726" w:rsidRDefault="008D15F0" w:rsidP="00186726">
      <w:pPr>
        <w:pStyle w:val="Intestazione"/>
        <w:rPr>
          <w:rFonts w:cs="Tahoma"/>
          <w:b/>
          <w:color w:val="000000"/>
          <w:szCs w:val="20"/>
        </w:rPr>
      </w:pPr>
    </w:p>
    <w:p w14:paraId="2B0E8B10" w14:textId="77777777" w:rsidR="004211AD" w:rsidRPr="00305AEB" w:rsidRDefault="008D15F0" w:rsidP="003E3FCD">
      <w:pPr>
        <w:pStyle w:val="Intestazione"/>
        <w:spacing w:after="0" w:line="240" w:lineRule="auto"/>
        <w:contextualSpacing/>
        <w:jc w:val="center"/>
        <w:rPr>
          <w:rFonts w:cs="Tahoma"/>
          <w:b/>
          <w:color w:val="000000"/>
          <w:sz w:val="72"/>
          <w:szCs w:val="72"/>
        </w:rPr>
      </w:pPr>
      <w:r w:rsidRPr="00305AEB">
        <w:rPr>
          <w:rFonts w:cs="Tahoma"/>
          <w:b/>
          <w:color w:val="000000"/>
          <w:sz w:val="72"/>
          <w:szCs w:val="72"/>
        </w:rPr>
        <w:t xml:space="preserve">I REDDITI ESTERI </w:t>
      </w:r>
    </w:p>
    <w:p w14:paraId="67F9BCDA" w14:textId="4DD39C2A" w:rsidR="008D15F0" w:rsidRPr="00305AEB" w:rsidRDefault="008D15F0" w:rsidP="003E3FCD">
      <w:pPr>
        <w:pStyle w:val="Intestazione"/>
        <w:spacing w:after="0" w:line="240" w:lineRule="auto"/>
        <w:contextualSpacing/>
        <w:jc w:val="center"/>
        <w:rPr>
          <w:rFonts w:cs="Tahoma"/>
          <w:b/>
          <w:color w:val="000000"/>
          <w:sz w:val="72"/>
          <w:szCs w:val="72"/>
        </w:rPr>
      </w:pPr>
      <w:r w:rsidRPr="00305AEB">
        <w:rPr>
          <w:rFonts w:cs="Tahoma"/>
          <w:b/>
          <w:color w:val="000000"/>
          <w:sz w:val="72"/>
          <w:szCs w:val="72"/>
        </w:rPr>
        <w:t>DELLE PERSONE FISICHE IN DICHIARAZIONE</w:t>
      </w:r>
    </w:p>
    <w:p w14:paraId="4A1AE1E1" w14:textId="045860CA" w:rsidR="00132408" w:rsidRPr="00305AEB" w:rsidRDefault="00132408" w:rsidP="00186726">
      <w:pPr>
        <w:pStyle w:val="Intestazione"/>
        <w:contextualSpacing/>
        <w:jc w:val="center"/>
        <w:rPr>
          <w:rFonts w:cs="Tahoma"/>
          <w:b/>
          <w:color w:val="000000"/>
          <w:sz w:val="72"/>
          <w:szCs w:val="72"/>
        </w:rPr>
      </w:pPr>
    </w:p>
    <w:p w14:paraId="72CEE171" w14:textId="672F6EA0" w:rsidR="008D15F0" w:rsidRPr="007214C7" w:rsidRDefault="00543034" w:rsidP="007214C7">
      <w:pPr>
        <w:pStyle w:val="Intestazione"/>
        <w:jc w:val="center"/>
        <w:rPr>
          <w:rFonts w:cs="Tahoma"/>
          <w:bCs/>
          <w:color w:val="808080"/>
          <w:sz w:val="40"/>
          <w:szCs w:val="40"/>
        </w:rPr>
      </w:pPr>
      <w:r w:rsidRPr="007214C7">
        <w:rPr>
          <w:rFonts w:cs="Tahoma"/>
          <w:bCs/>
          <w:color w:val="000000"/>
          <w:sz w:val="40"/>
          <w:szCs w:val="40"/>
        </w:rPr>
        <w:t xml:space="preserve">Aggiornato al </w:t>
      </w:r>
      <w:r w:rsidRPr="00543034">
        <w:rPr>
          <w:rFonts w:cs="Tahoma"/>
          <w:bCs/>
          <w:color w:val="000000"/>
          <w:sz w:val="40"/>
          <w:szCs w:val="40"/>
        </w:rPr>
        <w:t>D</w:t>
      </w:r>
      <w:r w:rsidRPr="007214C7">
        <w:rPr>
          <w:rFonts w:cs="Tahoma"/>
          <w:bCs/>
          <w:color w:val="000000"/>
          <w:sz w:val="40"/>
          <w:szCs w:val="40"/>
        </w:rPr>
        <w:t xml:space="preserve">ecreto </w:t>
      </w:r>
      <w:r w:rsidRPr="00543034">
        <w:rPr>
          <w:rFonts w:cs="Tahoma"/>
          <w:bCs/>
          <w:color w:val="000000"/>
          <w:sz w:val="40"/>
          <w:szCs w:val="40"/>
        </w:rPr>
        <w:t xml:space="preserve">sulla Fiscalità Internazionale e al </w:t>
      </w:r>
      <w:proofErr w:type="spellStart"/>
      <w:r w:rsidRPr="00543034">
        <w:rPr>
          <w:rFonts w:cs="Tahoma"/>
          <w:bCs/>
          <w:color w:val="000000"/>
          <w:sz w:val="40"/>
          <w:szCs w:val="40"/>
        </w:rPr>
        <w:t>provv</w:t>
      </w:r>
      <w:proofErr w:type="spellEnd"/>
      <w:r w:rsidRPr="00543034">
        <w:rPr>
          <w:rFonts w:cs="Tahoma"/>
          <w:bCs/>
          <w:color w:val="000000"/>
          <w:sz w:val="40"/>
          <w:szCs w:val="40"/>
        </w:rPr>
        <w:t xml:space="preserve">. </w:t>
      </w:r>
      <w:proofErr w:type="spellStart"/>
      <w:r w:rsidRPr="00543034">
        <w:rPr>
          <w:rFonts w:cs="Tahoma"/>
          <w:bCs/>
          <w:color w:val="000000"/>
          <w:sz w:val="40"/>
          <w:szCs w:val="40"/>
        </w:rPr>
        <w:t>AdE</w:t>
      </w:r>
      <w:proofErr w:type="spellEnd"/>
      <w:r w:rsidRPr="00543034">
        <w:rPr>
          <w:rFonts w:cs="Tahoma"/>
          <w:bCs/>
          <w:color w:val="000000"/>
          <w:sz w:val="40"/>
          <w:szCs w:val="40"/>
        </w:rPr>
        <w:t xml:space="preserve"> del </w:t>
      </w:r>
      <w:r w:rsidR="00213A3C" w:rsidRPr="00543034">
        <w:rPr>
          <w:rFonts w:cs="Tahoma"/>
          <w:bCs/>
          <w:color w:val="000000"/>
          <w:sz w:val="40"/>
          <w:szCs w:val="40"/>
        </w:rPr>
        <w:t>2</w:t>
      </w:r>
      <w:r w:rsidR="00213A3C">
        <w:rPr>
          <w:rFonts w:cs="Tahoma"/>
          <w:bCs/>
          <w:color w:val="000000"/>
          <w:sz w:val="40"/>
          <w:szCs w:val="40"/>
        </w:rPr>
        <w:t>8</w:t>
      </w:r>
      <w:r w:rsidRPr="00543034">
        <w:rPr>
          <w:rFonts w:cs="Tahoma"/>
          <w:bCs/>
          <w:color w:val="000000"/>
          <w:sz w:val="40"/>
          <w:szCs w:val="40"/>
        </w:rPr>
        <w:t>.02</w:t>
      </w:r>
      <w:r w:rsidR="00DE4903">
        <w:rPr>
          <w:rFonts w:cs="Tahoma"/>
          <w:bCs/>
          <w:color w:val="000000"/>
          <w:sz w:val="40"/>
          <w:szCs w:val="40"/>
        </w:rPr>
        <w:t>.2024</w:t>
      </w:r>
      <w:r w:rsidRPr="00543034">
        <w:rPr>
          <w:rFonts w:cs="Tahoma"/>
          <w:bCs/>
          <w:color w:val="000000"/>
          <w:sz w:val="40"/>
          <w:szCs w:val="40"/>
        </w:rPr>
        <w:t xml:space="preserve"> n. 68472</w:t>
      </w:r>
    </w:p>
    <w:p w14:paraId="62B929F0" w14:textId="77777777" w:rsidR="00543034" w:rsidRPr="00305AEB" w:rsidRDefault="00543034" w:rsidP="00186726">
      <w:pPr>
        <w:rPr>
          <w:rFonts w:cs="Tahoma"/>
          <w:b/>
          <w:i/>
          <w:iCs/>
          <w:sz w:val="28"/>
          <w:szCs w:val="28"/>
        </w:rPr>
      </w:pPr>
    </w:p>
    <w:p w14:paraId="5C043E86" w14:textId="59A945FE" w:rsidR="00543034" w:rsidRDefault="00543034" w:rsidP="004C19E4">
      <w:pPr>
        <w:pStyle w:val="Paragrafoelenco"/>
        <w:numPr>
          <w:ilvl w:val="0"/>
          <w:numId w:val="2"/>
        </w:numPr>
        <w:ind w:left="714" w:hanging="357"/>
        <w:rPr>
          <w:rFonts w:cs="Tahoma"/>
          <w:sz w:val="40"/>
          <w:szCs w:val="40"/>
        </w:rPr>
      </w:pPr>
      <w:r>
        <w:rPr>
          <w:rFonts w:cs="Tahoma"/>
          <w:sz w:val="40"/>
          <w:szCs w:val="40"/>
        </w:rPr>
        <w:t>Nuova definizione residenza fiscale</w:t>
      </w:r>
    </w:p>
    <w:p w14:paraId="280859D8" w14:textId="5FAFD5E1" w:rsidR="00543034" w:rsidRDefault="00543034" w:rsidP="004C19E4">
      <w:pPr>
        <w:pStyle w:val="Paragrafoelenco"/>
        <w:numPr>
          <w:ilvl w:val="0"/>
          <w:numId w:val="2"/>
        </w:numPr>
        <w:ind w:left="714" w:hanging="357"/>
        <w:rPr>
          <w:rFonts w:cs="Tahoma"/>
          <w:sz w:val="40"/>
          <w:szCs w:val="40"/>
        </w:rPr>
      </w:pPr>
      <w:r>
        <w:rPr>
          <w:rFonts w:cs="Tahoma"/>
          <w:sz w:val="40"/>
          <w:szCs w:val="40"/>
        </w:rPr>
        <w:t xml:space="preserve">Monitoraggio fiscale e nuovo </w:t>
      </w:r>
      <w:r w:rsidR="00DE4903">
        <w:rPr>
          <w:rFonts w:cs="Tahoma"/>
          <w:sz w:val="40"/>
          <w:szCs w:val="40"/>
        </w:rPr>
        <w:t>q</w:t>
      </w:r>
      <w:r>
        <w:rPr>
          <w:rFonts w:cs="Tahoma"/>
          <w:sz w:val="40"/>
          <w:szCs w:val="40"/>
        </w:rPr>
        <w:t xml:space="preserve">uadro </w:t>
      </w:r>
      <w:r w:rsidR="00DE4903">
        <w:rPr>
          <w:rFonts w:cs="Tahoma"/>
          <w:sz w:val="40"/>
          <w:szCs w:val="40"/>
        </w:rPr>
        <w:t>W</w:t>
      </w:r>
      <w:r>
        <w:rPr>
          <w:rFonts w:cs="Tahoma"/>
          <w:sz w:val="40"/>
          <w:szCs w:val="40"/>
        </w:rPr>
        <w:t xml:space="preserve"> </w:t>
      </w:r>
      <w:r w:rsidR="00DE4903">
        <w:rPr>
          <w:rFonts w:cs="Tahoma"/>
          <w:sz w:val="40"/>
          <w:szCs w:val="40"/>
        </w:rPr>
        <w:t xml:space="preserve">del </w:t>
      </w:r>
      <w:r>
        <w:rPr>
          <w:rFonts w:cs="Tahoma"/>
          <w:sz w:val="40"/>
          <w:szCs w:val="40"/>
        </w:rPr>
        <w:t>730</w:t>
      </w:r>
    </w:p>
    <w:p w14:paraId="27A5845A" w14:textId="06C236EA" w:rsidR="00543034" w:rsidRDefault="00543034" w:rsidP="004C19E4">
      <w:pPr>
        <w:pStyle w:val="Paragrafoelenco"/>
        <w:numPr>
          <w:ilvl w:val="0"/>
          <w:numId w:val="2"/>
        </w:numPr>
        <w:ind w:left="714" w:hanging="357"/>
        <w:rPr>
          <w:rFonts w:cs="Tahoma"/>
          <w:sz w:val="40"/>
          <w:szCs w:val="40"/>
        </w:rPr>
      </w:pPr>
      <w:r>
        <w:rPr>
          <w:rFonts w:cs="Tahoma"/>
          <w:sz w:val="40"/>
          <w:szCs w:val="40"/>
        </w:rPr>
        <w:t>Nuove aliquote IVIE e IVAFE</w:t>
      </w:r>
    </w:p>
    <w:p w14:paraId="2CF2498D" w14:textId="17077340" w:rsidR="00543034" w:rsidRDefault="00543034" w:rsidP="004C19E4">
      <w:pPr>
        <w:pStyle w:val="Paragrafoelenco"/>
        <w:numPr>
          <w:ilvl w:val="0"/>
          <w:numId w:val="2"/>
        </w:numPr>
        <w:ind w:left="714" w:hanging="357"/>
        <w:rPr>
          <w:rFonts w:cs="Tahoma"/>
          <w:sz w:val="40"/>
          <w:szCs w:val="40"/>
        </w:rPr>
      </w:pPr>
      <w:r>
        <w:rPr>
          <w:rFonts w:cs="Tahoma"/>
          <w:sz w:val="40"/>
          <w:szCs w:val="40"/>
        </w:rPr>
        <w:t>Indicazione dei principali redditi esteri</w:t>
      </w:r>
    </w:p>
    <w:p w14:paraId="0BB84B37" w14:textId="5068F952" w:rsidR="0069364A" w:rsidRPr="003E3FCD" w:rsidRDefault="000D3611" w:rsidP="003E3FCD">
      <w:pPr>
        <w:rPr>
          <w:rFonts w:cs="Tahoma"/>
          <w:sz w:val="28"/>
          <w:szCs w:val="28"/>
        </w:rPr>
        <w:sectPr w:rsidR="0069364A" w:rsidRPr="003E3FCD" w:rsidSect="00471E5B">
          <w:footerReference w:type="default" r:id="rId14"/>
          <w:pgSz w:w="11906" w:h="16838" w:code="9"/>
          <w:pgMar w:top="1418" w:right="1418" w:bottom="510" w:left="1276" w:header="709" w:footer="227" w:gutter="0"/>
          <w:pgNumType w:chapStyle="1"/>
          <w:cols w:space="708"/>
          <w:titlePg/>
          <w:docGrid w:linePitch="360"/>
        </w:sectPr>
      </w:pPr>
      <w:r w:rsidRPr="00305AEB">
        <w:rPr>
          <w:noProof/>
        </w:rPr>
        <w:drawing>
          <wp:anchor distT="0" distB="0" distL="114300" distR="114300" simplePos="0" relativeHeight="251671552" behindDoc="1" locked="0" layoutInCell="1" allowOverlap="1" wp14:anchorId="79FA74C7" wp14:editId="001A5F93">
            <wp:simplePos x="0" y="0"/>
            <wp:positionH relativeFrom="margin">
              <wp:align>right</wp:align>
            </wp:positionH>
            <wp:positionV relativeFrom="margin">
              <wp:posOffset>8181612</wp:posOffset>
            </wp:positionV>
            <wp:extent cx="2198370" cy="601980"/>
            <wp:effectExtent l="0" t="0" r="0" b="7620"/>
            <wp:wrapSquare wrapText="bothSides"/>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iscoetassemaggioli.png"/>
                    <pic:cNvPicPr/>
                  </pic:nvPicPr>
                  <pic:blipFill>
                    <a:blip r:embed="rId15">
                      <a:extLst>
                        <a:ext uri="{28A0092B-C50C-407E-A947-70E740481C1C}">
                          <a14:useLocalDpi xmlns:a14="http://schemas.microsoft.com/office/drawing/2010/main" val="0"/>
                        </a:ext>
                      </a:extLst>
                    </a:blip>
                    <a:stretch>
                      <a:fillRect/>
                    </a:stretch>
                  </pic:blipFill>
                  <pic:spPr>
                    <a:xfrm>
                      <a:off x="0" y="0"/>
                      <a:ext cx="2198370" cy="601980"/>
                    </a:xfrm>
                    <a:prstGeom prst="rect">
                      <a:avLst/>
                    </a:prstGeom>
                  </pic:spPr>
                </pic:pic>
              </a:graphicData>
            </a:graphic>
            <wp14:sizeRelH relativeFrom="page">
              <wp14:pctWidth>0</wp14:pctWidth>
            </wp14:sizeRelH>
            <wp14:sizeRelV relativeFrom="page">
              <wp14:pctHeight>0</wp14:pctHeight>
            </wp14:sizeRelV>
          </wp:anchor>
        </w:drawing>
      </w:r>
    </w:p>
    <w:p w14:paraId="4A98B59D" w14:textId="1D9F0D93" w:rsidR="00C10DD5" w:rsidRDefault="00C10DD5" w:rsidP="000F7D8F">
      <w:pPr>
        <w:jc w:val="center"/>
        <w:rPr>
          <w:rFonts w:cs="Tahoma"/>
          <w:b/>
          <w:i/>
          <w:iCs/>
          <w:sz w:val="28"/>
          <w:szCs w:val="28"/>
        </w:rPr>
        <w:sectPr w:rsidR="00C10DD5" w:rsidSect="00471E5B">
          <w:pgSz w:w="11906" w:h="16838" w:code="9"/>
          <w:pgMar w:top="1418" w:right="1418" w:bottom="510" w:left="1276" w:header="709" w:footer="227" w:gutter="0"/>
          <w:pgNumType w:chapStyle="1"/>
          <w:cols w:space="708"/>
          <w:titlePg/>
          <w:docGrid w:linePitch="360"/>
        </w:sectPr>
      </w:pPr>
      <w:r>
        <w:rPr>
          <w:rFonts w:cs="Tahoma"/>
          <w:b/>
          <w:i/>
          <w:iCs/>
          <w:noProof/>
          <w:sz w:val="28"/>
          <w:szCs w:val="28"/>
        </w:rPr>
        <w:lastRenderedPageBreak/>
        <w:drawing>
          <wp:inline distT="0" distB="0" distL="0" distR="0" wp14:anchorId="79D88FE6" wp14:editId="31DF72D5">
            <wp:extent cx="5849620" cy="8274050"/>
            <wp:effectExtent l="0" t="0" r="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magine 24"/>
                    <pic:cNvPicPr/>
                  </pic:nvPicPr>
                  <pic:blipFill>
                    <a:blip r:embed="rId16"/>
                    <a:stretch>
                      <a:fillRect/>
                    </a:stretch>
                  </pic:blipFill>
                  <pic:spPr>
                    <a:xfrm>
                      <a:off x="0" y="0"/>
                      <a:ext cx="5849620" cy="8274050"/>
                    </a:xfrm>
                    <a:prstGeom prst="rect">
                      <a:avLst/>
                    </a:prstGeom>
                  </pic:spPr>
                </pic:pic>
              </a:graphicData>
            </a:graphic>
          </wp:inline>
        </w:drawing>
      </w:r>
    </w:p>
    <w:p w14:paraId="382A28F7" w14:textId="77777777" w:rsidR="008D15F0" w:rsidRPr="00305AEB" w:rsidRDefault="008D15F0" w:rsidP="00186726">
      <w:pPr>
        <w:jc w:val="center"/>
        <w:rPr>
          <w:rFonts w:cs="Tahoma"/>
          <w:i/>
          <w:iCs/>
          <w:szCs w:val="20"/>
        </w:rPr>
      </w:pPr>
      <w:r w:rsidRPr="00305AEB">
        <w:rPr>
          <w:rFonts w:cs="Tahoma"/>
          <w:b/>
          <w:i/>
          <w:iCs/>
          <w:sz w:val="28"/>
          <w:szCs w:val="28"/>
        </w:rPr>
        <w:lastRenderedPageBreak/>
        <w:t>Diana Pérez Corradini</w:t>
      </w:r>
    </w:p>
    <w:p w14:paraId="44726E1A" w14:textId="77777777" w:rsidR="008D15F0" w:rsidRPr="00305AEB" w:rsidRDefault="008D15F0" w:rsidP="00186726">
      <w:pPr>
        <w:rPr>
          <w:rFonts w:cs="Tahoma"/>
        </w:rPr>
      </w:pPr>
      <w:r w:rsidRPr="00305AEB">
        <w:rPr>
          <w:rFonts w:cs="Tahoma"/>
        </w:rPr>
        <w:t xml:space="preserve">Laureata in Economia e Commercio all’Università di Trento, con specializzazioni </w:t>
      </w:r>
      <w:proofErr w:type="gramStart"/>
      <w:r w:rsidRPr="00305AEB">
        <w:rPr>
          <w:rFonts w:cs="Tahoma"/>
        </w:rPr>
        <w:t>post laurea</w:t>
      </w:r>
      <w:proofErr w:type="gramEnd"/>
      <w:r w:rsidRPr="00305AEB">
        <w:rPr>
          <w:rFonts w:cs="Tahoma"/>
        </w:rPr>
        <w:t xml:space="preserve"> in fiscalità internazionale ed IVA.</w:t>
      </w:r>
    </w:p>
    <w:p w14:paraId="74F6B8F4" w14:textId="30D618CB" w:rsidR="008D15F0" w:rsidRPr="00305AEB" w:rsidRDefault="008D15F0" w:rsidP="00186726">
      <w:pPr>
        <w:rPr>
          <w:rFonts w:cs="Tahoma"/>
        </w:rPr>
      </w:pPr>
      <w:r w:rsidRPr="00305AEB">
        <w:rPr>
          <w:rFonts w:cs="Tahoma"/>
        </w:rPr>
        <w:t>È stata Tax Europe and America Manager nel Gruppo Piaggio, maturando una pluriennale esperienza internazionale. Si dedica prevalentemente alla consulenza e alla formazione in ambito amministrativo e fiscale</w:t>
      </w:r>
      <w:r w:rsidR="00087C4D">
        <w:rPr>
          <w:rFonts w:cs="Tahoma"/>
        </w:rPr>
        <w:t xml:space="preserve"> e di educazione finanziaria</w:t>
      </w:r>
      <w:r w:rsidRPr="00305AEB">
        <w:rPr>
          <w:rFonts w:cs="Tahoma"/>
        </w:rPr>
        <w:t>.</w:t>
      </w:r>
    </w:p>
    <w:p w14:paraId="38225CDB" w14:textId="77777777" w:rsidR="008D15F0" w:rsidRPr="00305AEB" w:rsidRDefault="008D15F0" w:rsidP="00186726">
      <w:pPr>
        <w:rPr>
          <w:rFonts w:cs="Tahoma"/>
        </w:rPr>
      </w:pPr>
      <w:r w:rsidRPr="00305AEB">
        <w:rPr>
          <w:rFonts w:cs="Tahoma"/>
        </w:rPr>
        <w:t xml:space="preserve">Autrice di testi in materia fiscale, collabora oltre che con Maggioli, con il sito di aggiornamento professionale </w:t>
      </w:r>
      <w:hyperlink r:id="rId17" w:history="1">
        <w:r w:rsidRPr="00305AEB">
          <w:rPr>
            <w:rStyle w:val="Collegamentoipertestuale"/>
            <w:rFonts w:cs="Tahoma"/>
          </w:rPr>
          <w:t>www.fiscoetasse.com</w:t>
        </w:r>
      </w:hyperlink>
      <w:r w:rsidRPr="00305AEB">
        <w:rPr>
          <w:rFonts w:cs="Tahoma"/>
        </w:rPr>
        <w:t xml:space="preserve"> e con altre case editrici del settore giuridico-fiscale.</w:t>
      </w:r>
    </w:p>
    <w:p w14:paraId="19510CE9" w14:textId="77777777" w:rsidR="008D15F0" w:rsidRPr="00305AEB" w:rsidRDefault="008D15F0" w:rsidP="00186726">
      <w:pPr>
        <w:jc w:val="center"/>
        <w:rPr>
          <w:rFonts w:cs="Tahoma"/>
        </w:rPr>
      </w:pPr>
    </w:p>
    <w:p w14:paraId="556907D5" w14:textId="77777777" w:rsidR="008D15F0" w:rsidRPr="00305AEB" w:rsidRDefault="008D15F0" w:rsidP="00186726">
      <w:pPr>
        <w:jc w:val="center"/>
        <w:rPr>
          <w:rFonts w:cs="Tahoma"/>
        </w:rPr>
      </w:pPr>
    </w:p>
    <w:p w14:paraId="395E5145" w14:textId="77777777" w:rsidR="008D15F0" w:rsidRPr="00305AEB" w:rsidRDefault="008D15F0" w:rsidP="00186726">
      <w:pPr>
        <w:jc w:val="center"/>
        <w:rPr>
          <w:rFonts w:cs="Tahoma"/>
        </w:rPr>
      </w:pPr>
    </w:p>
    <w:p w14:paraId="72608434" w14:textId="77777777" w:rsidR="008D15F0" w:rsidRPr="00305AEB" w:rsidRDefault="008D15F0" w:rsidP="00186726">
      <w:pPr>
        <w:jc w:val="center"/>
        <w:rPr>
          <w:rFonts w:cs="Tahoma"/>
        </w:rPr>
      </w:pPr>
    </w:p>
    <w:p w14:paraId="7BBCAB4F" w14:textId="77777777" w:rsidR="008D15F0" w:rsidRPr="00305AEB" w:rsidRDefault="008D15F0" w:rsidP="00186726">
      <w:pPr>
        <w:jc w:val="center"/>
        <w:rPr>
          <w:rFonts w:cs="Tahoma"/>
        </w:rPr>
      </w:pPr>
    </w:p>
    <w:p w14:paraId="1004EF9C" w14:textId="77777777" w:rsidR="008D15F0" w:rsidRPr="00305AEB" w:rsidRDefault="008D15F0" w:rsidP="00186726">
      <w:pPr>
        <w:jc w:val="center"/>
        <w:rPr>
          <w:rFonts w:cs="Tahoma"/>
        </w:rPr>
      </w:pPr>
    </w:p>
    <w:p w14:paraId="2868FB88" w14:textId="77777777" w:rsidR="008D15F0" w:rsidRPr="00305AEB" w:rsidRDefault="008D15F0" w:rsidP="00186726">
      <w:pPr>
        <w:rPr>
          <w:rFonts w:cs="Tahoma"/>
        </w:rPr>
      </w:pPr>
    </w:p>
    <w:p w14:paraId="5E864B4C" w14:textId="77777777" w:rsidR="008D15F0" w:rsidRPr="00305AEB" w:rsidRDefault="008D15F0" w:rsidP="00186726">
      <w:pPr>
        <w:jc w:val="center"/>
        <w:rPr>
          <w:rFonts w:cs="Tahoma"/>
        </w:rPr>
      </w:pPr>
    </w:p>
    <w:p w14:paraId="610399F8" w14:textId="77777777" w:rsidR="008D15F0" w:rsidRPr="00305AEB" w:rsidRDefault="008D15F0" w:rsidP="00186726">
      <w:pPr>
        <w:jc w:val="center"/>
        <w:rPr>
          <w:rFonts w:cs="Tahoma"/>
        </w:rPr>
      </w:pPr>
    </w:p>
    <w:p w14:paraId="6236A67E" w14:textId="7C5E7A24" w:rsidR="008D15F0" w:rsidRPr="00305AEB" w:rsidRDefault="008D15F0" w:rsidP="00186726">
      <w:pPr>
        <w:jc w:val="center"/>
        <w:rPr>
          <w:rFonts w:cs="Tahoma"/>
        </w:rPr>
      </w:pPr>
      <w:r w:rsidRPr="00186726">
        <w:rPr>
          <w:rFonts w:cs="Tahoma"/>
          <w:b/>
          <w:bCs/>
        </w:rPr>
        <w:t>ISBN:</w:t>
      </w:r>
      <w:r w:rsidR="007630E9" w:rsidRPr="00305AEB">
        <w:rPr>
          <w:rFonts w:cs="Tahoma"/>
        </w:rPr>
        <w:t xml:space="preserve"> </w:t>
      </w:r>
      <w:r w:rsidR="007214C7" w:rsidRPr="007214C7">
        <w:rPr>
          <w:rFonts w:cs="Tahoma"/>
        </w:rPr>
        <w:t>9788891669698</w:t>
      </w:r>
    </w:p>
    <w:p w14:paraId="659E2316" w14:textId="77777777" w:rsidR="008D15F0" w:rsidRDefault="008D15F0" w:rsidP="000F7D8F">
      <w:pPr>
        <w:jc w:val="center"/>
        <w:rPr>
          <w:rFonts w:cs="Tahoma"/>
        </w:rPr>
      </w:pPr>
      <w:r w:rsidRPr="00305AEB">
        <w:rPr>
          <w:rFonts w:cs="Tahoma"/>
        </w:rPr>
        <w:t>© Copyright Maggioli</w:t>
      </w:r>
    </w:p>
    <w:p w14:paraId="36CED394" w14:textId="1CD5D3F1" w:rsidR="00E74279" w:rsidRPr="00305AEB" w:rsidRDefault="007214C7" w:rsidP="00186726">
      <w:pPr>
        <w:jc w:val="center"/>
        <w:rPr>
          <w:rFonts w:cs="Tahoma"/>
        </w:rPr>
      </w:pPr>
      <w:r>
        <w:rPr>
          <w:rFonts w:cs="Tahoma"/>
        </w:rPr>
        <w:t>Marzo 2024</w:t>
      </w:r>
    </w:p>
    <w:p w14:paraId="7EAAA4F7" w14:textId="77777777" w:rsidR="008D15F0" w:rsidRPr="00305AEB" w:rsidRDefault="00000000" w:rsidP="00186726">
      <w:pPr>
        <w:jc w:val="center"/>
        <w:rPr>
          <w:rFonts w:cs="Tahoma"/>
        </w:rPr>
      </w:pPr>
      <w:hyperlink r:id="rId18" w:history="1">
        <w:r w:rsidR="008D15F0" w:rsidRPr="00305AEB">
          <w:rPr>
            <w:rFonts w:cs="Tahoma"/>
            <w:color w:val="0000FF"/>
            <w:u w:val="single"/>
          </w:rPr>
          <w:t>www.fiscoetasse.com</w:t>
        </w:r>
      </w:hyperlink>
    </w:p>
    <w:p w14:paraId="738798AE" w14:textId="77777777" w:rsidR="008D15F0" w:rsidRPr="00305AEB" w:rsidRDefault="008D15F0" w:rsidP="00186726">
      <w:pPr>
        <w:ind w:left="3169" w:right="3430"/>
        <w:jc w:val="center"/>
        <w:rPr>
          <w:rFonts w:cs="Tahoma"/>
        </w:rPr>
      </w:pPr>
      <w:r w:rsidRPr="00305AEB">
        <w:rPr>
          <w:rFonts w:cs="Tahoma"/>
          <w:bCs/>
          <w:noProof/>
          <w:sz w:val="32"/>
          <w:szCs w:val="32"/>
        </w:rPr>
        <w:drawing>
          <wp:anchor distT="0" distB="0" distL="114300" distR="114300" simplePos="0" relativeHeight="251667968" behindDoc="1" locked="0" layoutInCell="1" allowOverlap="1" wp14:anchorId="0D823F21" wp14:editId="58BC8F95">
            <wp:simplePos x="0" y="0"/>
            <wp:positionH relativeFrom="column">
              <wp:posOffset>1818640</wp:posOffset>
            </wp:positionH>
            <wp:positionV relativeFrom="paragraph">
              <wp:posOffset>15875</wp:posOffset>
            </wp:positionV>
            <wp:extent cx="2209800" cy="605913"/>
            <wp:effectExtent l="0" t="0" r="0" b="381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iscoetassemaggioli.png"/>
                    <pic:cNvPicPr/>
                  </pic:nvPicPr>
                  <pic:blipFill>
                    <a:blip r:embed="rId15">
                      <a:extLst>
                        <a:ext uri="{28A0092B-C50C-407E-A947-70E740481C1C}">
                          <a14:useLocalDpi xmlns:a14="http://schemas.microsoft.com/office/drawing/2010/main" val="0"/>
                        </a:ext>
                      </a:extLst>
                    </a:blip>
                    <a:stretch>
                      <a:fillRect/>
                    </a:stretch>
                  </pic:blipFill>
                  <pic:spPr>
                    <a:xfrm>
                      <a:off x="0" y="0"/>
                      <a:ext cx="2209800" cy="605913"/>
                    </a:xfrm>
                    <a:prstGeom prst="rect">
                      <a:avLst/>
                    </a:prstGeom>
                  </pic:spPr>
                </pic:pic>
              </a:graphicData>
            </a:graphic>
            <wp14:sizeRelH relativeFrom="page">
              <wp14:pctWidth>0</wp14:pctWidth>
            </wp14:sizeRelH>
            <wp14:sizeRelV relativeFrom="page">
              <wp14:pctHeight>0</wp14:pctHeight>
            </wp14:sizeRelV>
          </wp:anchor>
        </w:drawing>
      </w:r>
    </w:p>
    <w:p w14:paraId="212806E5" w14:textId="77777777" w:rsidR="007630E9" w:rsidRPr="00305AEB" w:rsidRDefault="007630E9" w:rsidP="00186726">
      <w:pPr>
        <w:rPr>
          <w:rFonts w:cs="Tahoma"/>
          <w:color w:val="404040"/>
          <w:sz w:val="48"/>
          <w:szCs w:val="48"/>
        </w:rPr>
        <w:sectPr w:rsidR="007630E9" w:rsidRPr="00305AEB" w:rsidSect="00471E5B">
          <w:pgSz w:w="11906" w:h="16838" w:code="9"/>
          <w:pgMar w:top="1418" w:right="1418" w:bottom="510" w:left="1276" w:header="709" w:footer="227" w:gutter="0"/>
          <w:pgNumType w:chapStyle="1"/>
          <w:cols w:space="708"/>
          <w:titlePg/>
          <w:docGrid w:linePitch="360"/>
        </w:sectPr>
      </w:pPr>
      <w:bookmarkStart w:id="0" w:name="_Toc408568444"/>
      <w:bookmarkStart w:id="1" w:name="_Toc410756961"/>
    </w:p>
    <w:p w14:paraId="7B8A4D60" w14:textId="77777777" w:rsidR="008D15F0" w:rsidRPr="00305AEB" w:rsidRDefault="008D15F0" w:rsidP="00186726">
      <w:pPr>
        <w:rPr>
          <w:rFonts w:cs="Tahoma"/>
          <w:color w:val="404040"/>
          <w:sz w:val="48"/>
          <w:szCs w:val="48"/>
          <w:lang w:val="en-US"/>
        </w:rPr>
      </w:pPr>
      <w:proofErr w:type="spellStart"/>
      <w:r w:rsidRPr="00305AEB">
        <w:rPr>
          <w:rFonts w:cs="Tahoma"/>
          <w:color w:val="404040"/>
          <w:sz w:val="48"/>
          <w:szCs w:val="48"/>
          <w:lang w:val="en-US"/>
        </w:rPr>
        <w:lastRenderedPageBreak/>
        <w:t>Indice</w:t>
      </w:r>
      <w:bookmarkStart w:id="2" w:name="_Toc410757181"/>
      <w:bookmarkStart w:id="3" w:name="_Toc410757182"/>
      <w:bookmarkStart w:id="4" w:name="_Toc441598913"/>
      <w:proofErr w:type="spellEnd"/>
    </w:p>
    <w:p w14:paraId="03C75710" w14:textId="77777777" w:rsidR="008D15F0" w:rsidRPr="00305AEB" w:rsidRDefault="008D15F0" w:rsidP="00186726">
      <w:pPr>
        <w:rPr>
          <w:rFonts w:cs="Tahoma"/>
          <w:color w:val="404040"/>
          <w:sz w:val="48"/>
          <w:szCs w:val="48"/>
          <w:lang w:val="en-US"/>
        </w:rPr>
      </w:pPr>
    </w:p>
    <w:p w14:paraId="33B0E307" w14:textId="5C3BB5DD" w:rsidR="00E22CE6" w:rsidRPr="00E22CE6" w:rsidRDefault="008D15F0" w:rsidP="00E22CE6">
      <w:pPr>
        <w:pStyle w:val="Sommario1"/>
        <w:rPr>
          <w:rFonts w:eastAsiaTheme="minorEastAsia"/>
          <w:b w:val="0"/>
          <w:kern w:val="2"/>
          <w14:ligatures w14:val="standardContextual"/>
        </w:rPr>
      </w:pPr>
      <w:r w:rsidRPr="00E22CE6">
        <w:rPr>
          <w:lang w:val="en-US"/>
        </w:rPr>
        <w:fldChar w:fldCharType="begin"/>
      </w:r>
      <w:r w:rsidRPr="00E22CE6">
        <w:rPr>
          <w:lang w:val="en-US"/>
        </w:rPr>
        <w:instrText xml:space="preserve"> TOC \o "1-1" \h \z \t "Sottotitolo;2;NUOVOSOTTOPARAGRAFO;3" </w:instrText>
      </w:r>
      <w:r w:rsidRPr="00E22CE6">
        <w:rPr>
          <w:lang w:val="en-US"/>
        </w:rPr>
        <w:fldChar w:fldCharType="separate"/>
      </w:r>
      <w:hyperlink w:anchor="_Toc161933115" w:history="1">
        <w:r w:rsidR="00E22CE6" w:rsidRPr="00E22CE6">
          <w:rPr>
            <w:rStyle w:val="Collegamentoipertestuale"/>
            <w:rFonts w:cs="Tahoma"/>
          </w:rPr>
          <w:t>Premessa</w:t>
        </w:r>
        <w:r w:rsidR="00E22CE6" w:rsidRPr="00E22CE6">
          <w:rPr>
            <w:webHidden/>
          </w:rPr>
          <w:tab/>
        </w:r>
        <w:r w:rsidR="00E22CE6" w:rsidRPr="00E22CE6">
          <w:rPr>
            <w:webHidden/>
          </w:rPr>
          <w:fldChar w:fldCharType="begin"/>
        </w:r>
        <w:r w:rsidR="00E22CE6" w:rsidRPr="00E22CE6">
          <w:rPr>
            <w:webHidden/>
          </w:rPr>
          <w:instrText xml:space="preserve"> PAGEREF _Toc161933115 \h </w:instrText>
        </w:r>
        <w:r w:rsidR="00E22CE6" w:rsidRPr="00E22CE6">
          <w:rPr>
            <w:webHidden/>
          </w:rPr>
        </w:r>
        <w:r w:rsidR="00E22CE6" w:rsidRPr="00E22CE6">
          <w:rPr>
            <w:webHidden/>
          </w:rPr>
          <w:fldChar w:fldCharType="separate"/>
        </w:r>
        <w:r w:rsidR="00E873AF">
          <w:rPr>
            <w:webHidden/>
          </w:rPr>
          <w:t>9</w:t>
        </w:r>
        <w:r w:rsidR="00E22CE6" w:rsidRPr="00E22CE6">
          <w:rPr>
            <w:webHidden/>
          </w:rPr>
          <w:fldChar w:fldCharType="end"/>
        </w:r>
      </w:hyperlink>
    </w:p>
    <w:p w14:paraId="24025943" w14:textId="35BEBBF6" w:rsidR="00E22CE6" w:rsidRPr="00E22CE6" w:rsidRDefault="00000000" w:rsidP="00E22CE6">
      <w:pPr>
        <w:pStyle w:val="Sommario1"/>
        <w:rPr>
          <w:rFonts w:eastAsiaTheme="minorEastAsia"/>
          <w:b w:val="0"/>
          <w:kern w:val="2"/>
          <w14:ligatures w14:val="standardContextual"/>
        </w:rPr>
      </w:pPr>
      <w:hyperlink w:anchor="_Toc161933116" w:history="1">
        <w:r w:rsidR="00E22CE6" w:rsidRPr="00E22CE6">
          <w:rPr>
            <w:rStyle w:val="Collegamentoipertestuale"/>
            <w:rFonts w:cs="Tahoma"/>
          </w:rPr>
          <w:t>1. Tassazione dei redditi esteri in Italia</w:t>
        </w:r>
        <w:r w:rsidR="00E22CE6" w:rsidRPr="00E22CE6">
          <w:rPr>
            <w:webHidden/>
          </w:rPr>
          <w:tab/>
        </w:r>
        <w:r w:rsidR="00E22CE6" w:rsidRPr="00E22CE6">
          <w:rPr>
            <w:webHidden/>
          </w:rPr>
          <w:fldChar w:fldCharType="begin"/>
        </w:r>
        <w:r w:rsidR="00E22CE6" w:rsidRPr="00E22CE6">
          <w:rPr>
            <w:webHidden/>
          </w:rPr>
          <w:instrText xml:space="preserve"> PAGEREF _Toc161933116 \h </w:instrText>
        </w:r>
        <w:r w:rsidR="00E22CE6" w:rsidRPr="00E22CE6">
          <w:rPr>
            <w:webHidden/>
          </w:rPr>
        </w:r>
        <w:r w:rsidR="00E22CE6" w:rsidRPr="00E22CE6">
          <w:rPr>
            <w:webHidden/>
          </w:rPr>
          <w:fldChar w:fldCharType="separate"/>
        </w:r>
        <w:r w:rsidR="00E873AF">
          <w:rPr>
            <w:webHidden/>
          </w:rPr>
          <w:t>10</w:t>
        </w:r>
        <w:r w:rsidR="00E22CE6" w:rsidRPr="00E22CE6">
          <w:rPr>
            <w:webHidden/>
          </w:rPr>
          <w:fldChar w:fldCharType="end"/>
        </w:r>
      </w:hyperlink>
    </w:p>
    <w:p w14:paraId="09273164" w14:textId="64073D78" w:rsidR="00E22CE6" w:rsidRPr="00E22CE6" w:rsidRDefault="00000000" w:rsidP="00E22CE6">
      <w:pPr>
        <w:pStyle w:val="Sommario2"/>
        <w:tabs>
          <w:tab w:val="right" w:leader="dot" w:pos="9202"/>
        </w:tabs>
        <w:spacing w:before="60" w:after="60" w:line="326" w:lineRule="auto"/>
        <w:rPr>
          <w:rFonts w:eastAsiaTheme="minorEastAsia" w:cs="Tahoma"/>
          <w:noProof/>
          <w:kern w:val="2"/>
          <w:szCs w:val="20"/>
          <w14:ligatures w14:val="standardContextual"/>
        </w:rPr>
      </w:pPr>
      <w:hyperlink w:anchor="_Toc161933117" w:history="1">
        <w:r w:rsidR="00E22CE6" w:rsidRPr="00E22CE6">
          <w:rPr>
            <w:rStyle w:val="Collegamentoipertestuale"/>
            <w:rFonts w:cs="Tahoma"/>
            <w:noProof/>
            <w:szCs w:val="20"/>
          </w:rPr>
          <w:t>1.1 Quadro normativo</w:t>
        </w:r>
        <w:r w:rsidR="00E22CE6" w:rsidRPr="00E22CE6">
          <w:rPr>
            <w:rFonts w:cs="Tahoma"/>
            <w:noProof/>
            <w:webHidden/>
            <w:szCs w:val="20"/>
          </w:rPr>
          <w:tab/>
        </w:r>
        <w:r w:rsidR="00E22CE6" w:rsidRPr="00E22CE6">
          <w:rPr>
            <w:rFonts w:cs="Tahoma"/>
            <w:noProof/>
            <w:webHidden/>
            <w:szCs w:val="20"/>
          </w:rPr>
          <w:fldChar w:fldCharType="begin"/>
        </w:r>
        <w:r w:rsidR="00E22CE6" w:rsidRPr="00E22CE6">
          <w:rPr>
            <w:rFonts w:cs="Tahoma"/>
            <w:noProof/>
            <w:webHidden/>
            <w:szCs w:val="20"/>
          </w:rPr>
          <w:instrText xml:space="preserve"> PAGEREF _Toc161933117 \h </w:instrText>
        </w:r>
        <w:r w:rsidR="00E22CE6" w:rsidRPr="00E22CE6">
          <w:rPr>
            <w:rFonts w:cs="Tahoma"/>
            <w:noProof/>
            <w:webHidden/>
            <w:szCs w:val="20"/>
          </w:rPr>
        </w:r>
        <w:r w:rsidR="00E22CE6" w:rsidRPr="00E22CE6">
          <w:rPr>
            <w:rFonts w:cs="Tahoma"/>
            <w:noProof/>
            <w:webHidden/>
            <w:szCs w:val="20"/>
          </w:rPr>
          <w:fldChar w:fldCharType="separate"/>
        </w:r>
        <w:r w:rsidR="00E873AF">
          <w:rPr>
            <w:rFonts w:cs="Tahoma"/>
            <w:noProof/>
            <w:webHidden/>
            <w:szCs w:val="20"/>
          </w:rPr>
          <w:t>10</w:t>
        </w:r>
        <w:r w:rsidR="00E22CE6" w:rsidRPr="00E22CE6">
          <w:rPr>
            <w:rFonts w:cs="Tahoma"/>
            <w:noProof/>
            <w:webHidden/>
            <w:szCs w:val="20"/>
          </w:rPr>
          <w:fldChar w:fldCharType="end"/>
        </w:r>
      </w:hyperlink>
    </w:p>
    <w:p w14:paraId="3F9E78D5" w14:textId="70025ED6" w:rsidR="00E22CE6" w:rsidRPr="00E22CE6" w:rsidRDefault="00000000" w:rsidP="00E22CE6">
      <w:pPr>
        <w:pStyle w:val="Sommario2"/>
        <w:tabs>
          <w:tab w:val="right" w:leader="dot" w:pos="9202"/>
        </w:tabs>
        <w:spacing w:before="60" w:after="60" w:line="326" w:lineRule="auto"/>
        <w:rPr>
          <w:rFonts w:eastAsiaTheme="minorEastAsia" w:cs="Tahoma"/>
          <w:noProof/>
          <w:kern w:val="2"/>
          <w:szCs w:val="20"/>
          <w14:ligatures w14:val="standardContextual"/>
        </w:rPr>
      </w:pPr>
      <w:hyperlink w:anchor="_Toc161933118" w:history="1">
        <w:r w:rsidR="00E22CE6" w:rsidRPr="00E22CE6">
          <w:rPr>
            <w:rStyle w:val="Collegamentoipertestuale"/>
            <w:rFonts w:cs="Tahoma"/>
            <w:noProof/>
            <w:szCs w:val="20"/>
          </w:rPr>
          <w:t>1.2 La residenza delle persone fisiche</w:t>
        </w:r>
        <w:r w:rsidR="00E22CE6" w:rsidRPr="00E22CE6">
          <w:rPr>
            <w:rFonts w:cs="Tahoma"/>
            <w:noProof/>
            <w:webHidden/>
            <w:szCs w:val="20"/>
          </w:rPr>
          <w:tab/>
        </w:r>
        <w:r w:rsidR="00E22CE6" w:rsidRPr="00E22CE6">
          <w:rPr>
            <w:rFonts w:cs="Tahoma"/>
            <w:noProof/>
            <w:webHidden/>
            <w:szCs w:val="20"/>
          </w:rPr>
          <w:fldChar w:fldCharType="begin"/>
        </w:r>
        <w:r w:rsidR="00E22CE6" w:rsidRPr="00E22CE6">
          <w:rPr>
            <w:rFonts w:cs="Tahoma"/>
            <w:noProof/>
            <w:webHidden/>
            <w:szCs w:val="20"/>
          </w:rPr>
          <w:instrText xml:space="preserve"> PAGEREF _Toc161933118 \h </w:instrText>
        </w:r>
        <w:r w:rsidR="00E22CE6" w:rsidRPr="00E22CE6">
          <w:rPr>
            <w:rFonts w:cs="Tahoma"/>
            <w:noProof/>
            <w:webHidden/>
            <w:szCs w:val="20"/>
          </w:rPr>
        </w:r>
        <w:r w:rsidR="00E22CE6" w:rsidRPr="00E22CE6">
          <w:rPr>
            <w:rFonts w:cs="Tahoma"/>
            <w:noProof/>
            <w:webHidden/>
            <w:szCs w:val="20"/>
          </w:rPr>
          <w:fldChar w:fldCharType="separate"/>
        </w:r>
        <w:r w:rsidR="00E873AF">
          <w:rPr>
            <w:rFonts w:cs="Tahoma"/>
            <w:noProof/>
            <w:webHidden/>
            <w:szCs w:val="20"/>
          </w:rPr>
          <w:t>11</w:t>
        </w:r>
        <w:r w:rsidR="00E22CE6" w:rsidRPr="00E22CE6">
          <w:rPr>
            <w:rFonts w:cs="Tahoma"/>
            <w:noProof/>
            <w:webHidden/>
            <w:szCs w:val="20"/>
          </w:rPr>
          <w:fldChar w:fldCharType="end"/>
        </w:r>
      </w:hyperlink>
    </w:p>
    <w:p w14:paraId="3D8E635D" w14:textId="7B10B66C" w:rsidR="00E22CE6" w:rsidRPr="00E22CE6" w:rsidRDefault="00000000" w:rsidP="00E22CE6">
      <w:pPr>
        <w:pStyle w:val="Sommario3"/>
        <w:spacing w:before="60" w:after="60" w:line="326" w:lineRule="auto"/>
        <w:rPr>
          <w:rFonts w:eastAsiaTheme="minorEastAsia"/>
          <w:i w:val="0"/>
          <w:kern w:val="2"/>
          <w14:ligatures w14:val="standardContextual"/>
        </w:rPr>
      </w:pPr>
      <w:hyperlink w:anchor="_Toc161933119" w:history="1">
        <w:r w:rsidR="00E22CE6" w:rsidRPr="00E22CE6">
          <w:rPr>
            <w:rStyle w:val="Collegamentoipertestuale"/>
            <w:rFonts w:cs="Tahoma"/>
          </w:rPr>
          <w:t>1.2.1 Criteri di individuazione della residenza fiscale delle persone fisiche</w:t>
        </w:r>
        <w:r w:rsidR="00E22CE6" w:rsidRPr="00E22CE6">
          <w:rPr>
            <w:webHidden/>
          </w:rPr>
          <w:tab/>
        </w:r>
        <w:r w:rsidR="00E22CE6" w:rsidRPr="00E22CE6">
          <w:rPr>
            <w:webHidden/>
          </w:rPr>
          <w:fldChar w:fldCharType="begin"/>
        </w:r>
        <w:r w:rsidR="00E22CE6" w:rsidRPr="00E22CE6">
          <w:rPr>
            <w:webHidden/>
          </w:rPr>
          <w:instrText xml:space="preserve"> PAGEREF _Toc161933119 \h </w:instrText>
        </w:r>
        <w:r w:rsidR="00E22CE6" w:rsidRPr="00E22CE6">
          <w:rPr>
            <w:webHidden/>
          </w:rPr>
        </w:r>
        <w:r w:rsidR="00E22CE6" w:rsidRPr="00E22CE6">
          <w:rPr>
            <w:webHidden/>
          </w:rPr>
          <w:fldChar w:fldCharType="separate"/>
        </w:r>
        <w:r w:rsidR="00E873AF">
          <w:rPr>
            <w:webHidden/>
          </w:rPr>
          <w:t>11</w:t>
        </w:r>
        <w:r w:rsidR="00E22CE6" w:rsidRPr="00E22CE6">
          <w:rPr>
            <w:webHidden/>
          </w:rPr>
          <w:fldChar w:fldCharType="end"/>
        </w:r>
      </w:hyperlink>
    </w:p>
    <w:p w14:paraId="1A86B46A" w14:textId="0785522A" w:rsidR="00E22CE6" w:rsidRPr="00E22CE6" w:rsidRDefault="00000000" w:rsidP="00E22CE6">
      <w:pPr>
        <w:pStyle w:val="Sommario2"/>
        <w:tabs>
          <w:tab w:val="right" w:leader="dot" w:pos="9202"/>
        </w:tabs>
        <w:spacing w:before="60" w:after="60" w:line="326" w:lineRule="auto"/>
        <w:rPr>
          <w:rFonts w:eastAsiaTheme="minorEastAsia" w:cs="Tahoma"/>
          <w:noProof/>
          <w:kern w:val="2"/>
          <w:szCs w:val="20"/>
          <w14:ligatures w14:val="standardContextual"/>
        </w:rPr>
      </w:pPr>
      <w:hyperlink w:anchor="_Toc161933120" w:history="1">
        <w:r w:rsidR="00E22CE6" w:rsidRPr="00E22CE6">
          <w:rPr>
            <w:rStyle w:val="Collegamentoipertestuale"/>
            <w:rFonts w:cs="Tahoma"/>
            <w:noProof/>
            <w:szCs w:val="20"/>
          </w:rPr>
          <w:t>1.3 Trasferimento della residenza in paradisi fiscali</w:t>
        </w:r>
        <w:r w:rsidR="00E22CE6" w:rsidRPr="00E22CE6">
          <w:rPr>
            <w:rFonts w:cs="Tahoma"/>
            <w:noProof/>
            <w:webHidden/>
            <w:szCs w:val="20"/>
          </w:rPr>
          <w:tab/>
        </w:r>
        <w:r w:rsidR="00E22CE6" w:rsidRPr="00E22CE6">
          <w:rPr>
            <w:rFonts w:cs="Tahoma"/>
            <w:noProof/>
            <w:webHidden/>
            <w:szCs w:val="20"/>
          </w:rPr>
          <w:fldChar w:fldCharType="begin"/>
        </w:r>
        <w:r w:rsidR="00E22CE6" w:rsidRPr="00E22CE6">
          <w:rPr>
            <w:rFonts w:cs="Tahoma"/>
            <w:noProof/>
            <w:webHidden/>
            <w:szCs w:val="20"/>
          </w:rPr>
          <w:instrText xml:space="preserve"> PAGEREF _Toc161933120 \h </w:instrText>
        </w:r>
        <w:r w:rsidR="00E22CE6" w:rsidRPr="00E22CE6">
          <w:rPr>
            <w:rFonts w:cs="Tahoma"/>
            <w:noProof/>
            <w:webHidden/>
            <w:szCs w:val="20"/>
          </w:rPr>
        </w:r>
        <w:r w:rsidR="00E22CE6" w:rsidRPr="00E22CE6">
          <w:rPr>
            <w:rFonts w:cs="Tahoma"/>
            <w:noProof/>
            <w:webHidden/>
            <w:szCs w:val="20"/>
          </w:rPr>
          <w:fldChar w:fldCharType="separate"/>
        </w:r>
        <w:r w:rsidR="00E873AF">
          <w:rPr>
            <w:rFonts w:cs="Tahoma"/>
            <w:noProof/>
            <w:webHidden/>
            <w:szCs w:val="20"/>
          </w:rPr>
          <w:t>12</w:t>
        </w:r>
        <w:r w:rsidR="00E22CE6" w:rsidRPr="00E22CE6">
          <w:rPr>
            <w:rFonts w:cs="Tahoma"/>
            <w:noProof/>
            <w:webHidden/>
            <w:szCs w:val="20"/>
          </w:rPr>
          <w:fldChar w:fldCharType="end"/>
        </w:r>
      </w:hyperlink>
    </w:p>
    <w:p w14:paraId="3CC400E1" w14:textId="44E3D283" w:rsidR="00E22CE6" w:rsidRPr="00E22CE6" w:rsidRDefault="00000000" w:rsidP="00E22CE6">
      <w:pPr>
        <w:pStyle w:val="Sommario2"/>
        <w:tabs>
          <w:tab w:val="right" w:leader="dot" w:pos="9202"/>
        </w:tabs>
        <w:spacing w:before="60" w:after="60" w:line="326" w:lineRule="auto"/>
        <w:rPr>
          <w:rFonts w:eastAsiaTheme="minorEastAsia" w:cs="Tahoma"/>
          <w:noProof/>
          <w:kern w:val="2"/>
          <w:szCs w:val="20"/>
          <w14:ligatures w14:val="standardContextual"/>
        </w:rPr>
      </w:pPr>
      <w:hyperlink w:anchor="_Toc161933121" w:history="1">
        <w:r w:rsidR="00E22CE6" w:rsidRPr="00E22CE6">
          <w:rPr>
            <w:rStyle w:val="Collegamentoipertestuale"/>
            <w:rFonts w:cs="Tahoma"/>
            <w:noProof/>
            <w:szCs w:val="20"/>
          </w:rPr>
          <w:t>1.4 La residenza nelle Convenzioni contro le doppie imposizioni</w:t>
        </w:r>
        <w:r w:rsidR="00E22CE6" w:rsidRPr="00E22CE6">
          <w:rPr>
            <w:rFonts w:cs="Tahoma"/>
            <w:noProof/>
            <w:webHidden/>
            <w:szCs w:val="20"/>
          </w:rPr>
          <w:tab/>
        </w:r>
        <w:r w:rsidR="00E22CE6" w:rsidRPr="00E22CE6">
          <w:rPr>
            <w:rFonts w:cs="Tahoma"/>
            <w:noProof/>
            <w:webHidden/>
            <w:szCs w:val="20"/>
          </w:rPr>
          <w:fldChar w:fldCharType="begin"/>
        </w:r>
        <w:r w:rsidR="00E22CE6" w:rsidRPr="00E22CE6">
          <w:rPr>
            <w:rFonts w:cs="Tahoma"/>
            <w:noProof/>
            <w:webHidden/>
            <w:szCs w:val="20"/>
          </w:rPr>
          <w:instrText xml:space="preserve"> PAGEREF _Toc161933121 \h </w:instrText>
        </w:r>
        <w:r w:rsidR="00E22CE6" w:rsidRPr="00E22CE6">
          <w:rPr>
            <w:rFonts w:cs="Tahoma"/>
            <w:noProof/>
            <w:webHidden/>
            <w:szCs w:val="20"/>
          </w:rPr>
        </w:r>
        <w:r w:rsidR="00E22CE6" w:rsidRPr="00E22CE6">
          <w:rPr>
            <w:rFonts w:cs="Tahoma"/>
            <w:noProof/>
            <w:webHidden/>
            <w:szCs w:val="20"/>
          </w:rPr>
          <w:fldChar w:fldCharType="separate"/>
        </w:r>
        <w:r w:rsidR="00E873AF">
          <w:rPr>
            <w:rFonts w:cs="Tahoma"/>
            <w:noProof/>
            <w:webHidden/>
            <w:szCs w:val="20"/>
          </w:rPr>
          <w:t>13</w:t>
        </w:r>
        <w:r w:rsidR="00E22CE6" w:rsidRPr="00E22CE6">
          <w:rPr>
            <w:rFonts w:cs="Tahoma"/>
            <w:noProof/>
            <w:webHidden/>
            <w:szCs w:val="20"/>
          </w:rPr>
          <w:fldChar w:fldCharType="end"/>
        </w:r>
      </w:hyperlink>
    </w:p>
    <w:p w14:paraId="46627E52" w14:textId="416EA39B" w:rsidR="00E22CE6" w:rsidRPr="00E22CE6" w:rsidRDefault="00000000" w:rsidP="00E22CE6">
      <w:pPr>
        <w:pStyle w:val="Sommario2"/>
        <w:tabs>
          <w:tab w:val="right" w:leader="dot" w:pos="9202"/>
        </w:tabs>
        <w:spacing w:before="60" w:after="60" w:line="326" w:lineRule="auto"/>
        <w:rPr>
          <w:rFonts w:eastAsiaTheme="minorEastAsia" w:cs="Tahoma"/>
          <w:noProof/>
          <w:kern w:val="2"/>
          <w:szCs w:val="20"/>
          <w14:ligatures w14:val="standardContextual"/>
        </w:rPr>
      </w:pPr>
      <w:hyperlink w:anchor="_Toc161933122" w:history="1">
        <w:r w:rsidR="00E22CE6" w:rsidRPr="00E22CE6">
          <w:rPr>
            <w:rStyle w:val="Collegamentoipertestuale"/>
            <w:rFonts w:cs="Tahoma"/>
            <w:noProof/>
            <w:szCs w:val="20"/>
          </w:rPr>
          <w:t>1.5 La tassazione dei soggetti residenti per i redditi prodotti all’estero</w:t>
        </w:r>
        <w:r w:rsidR="00E22CE6" w:rsidRPr="00E22CE6">
          <w:rPr>
            <w:rFonts w:cs="Tahoma"/>
            <w:noProof/>
            <w:webHidden/>
            <w:szCs w:val="20"/>
          </w:rPr>
          <w:tab/>
        </w:r>
        <w:r w:rsidR="00E22CE6" w:rsidRPr="00E22CE6">
          <w:rPr>
            <w:rFonts w:cs="Tahoma"/>
            <w:noProof/>
            <w:webHidden/>
            <w:szCs w:val="20"/>
          </w:rPr>
          <w:fldChar w:fldCharType="begin"/>
        </w:r>
        <w:r w:rsidR="00E22CE6" w:rsidRPr="00E22CE6">
          <w:rPr>
            <w:rFonts w:cs="Tahoma"/>
            <w:noProof/>
            <w:webHidden/>
            <w:szCs w:val="20"/>
          </w:rPr>
          <w:instrText xml:space="preserve"> PAGEREF _Toc161933122 \h </w:instrText>
        </w:r>
        <w:r w:rsidR="00E22CE6" w:rsidRPr="00E22CE6">
          <w:rPr>
            <w:rFonts w:cs="Tahoma"/>
            <w:noProof/>
            <w:webHidden/>
            <w:szCs w:val="20"/>
          </w:rPr>
        </w:r>
        <w:r w:rsidR="00E22CE6" w:rsidRPr="00E22CE6">
          <w:rPr>
            <w:rFonts w:cs="Tahoma"/>
            <w:noProof/>
            <w:webHidden/>
            <w:szCs w:val="20"/>
          </w:rPr>
          <w:fldChar w:fldCharType="separate"/>
        </w:r>
        <w:r w:rsidR="00E873AF">
          <w:rPr>
            <w:rFonts w:cs="Tahoma"/>
            <w:noProof/>
            <w:webHidden/>
            <w:szCs w:val="20"/>
          </w:rPr>
          <w:t>14</w:t>
        </w:r>
        <w:r w:rsidR="00E22CE6" w:rsidRPr="00E22CE6">
          <w:rPr>
            <w:rFonts w:cs="Tahoma"/>
            <w:noProof/>
            <w:webHidden/>
            <w:szCs w:val="20"/>
          </w:rPr>
          <w:fldChar w:fldCharType="end"/>
        </w:r>
      </w:hyperlink>
    </w:p>
    <w:p w14:paraId="4B94EDAD" w14:textId="7AB460FF" w:rsidR="00E22CE6" w:rsidRPr="00E22CE6" w:rsidRDefault="00000000" w:rsidP="00E22CE6">
      <w:pPr>
        <w:pStyle w:val="Sommario2"/>
        <w:tabs>
          <w:tab w:val="right" w:leader="dot" w:pos="9202"/>
        </w:tabs>
        <w:spacing w:before="60" w:after="60" w:line="326" w:lineRule="auto"/>
        <w:rPr>
          <w:rFonts w:eastAsiaTheme="minorEastAsia" w:cs="Tahoma"/>
          <w:noProof/>
          <w:kern w:val="2"/>
          <w:szCs w:val="20"/>
          <w14:ligatures w14:val="standardContextual"/>
        </w:rPr>
      </w:pPr>
      <w:hyperlink w:anchor="_Toc161933123" w:history="1">
        <w:r w:rsidR="00E22CE6" w:rsidRPr="00E22CE6">
          <w:rPr>
            <w:rStyle w:val="Collegamentoipertestuale"/>
            <w:rFonts w:cs="Tahoma"/>
            <w:noProof/>
            <w:szCs w:val="20"/>
          </w:rPr>
          <w:t>1.6 La doppia imposizione</w:t>
        </w:r>
        <w:r w:rsidR="00E22CE6" w:rsidRPr="00E22CE6">
          <w:rPr>
            <w:rFonts w:cs="Tahoma"/>
            <w:noProof/>
            <w:webHidden/>
            <w:szCs w:val="20"/>
          </w:rPr>
          <w:tab/>
        </w:r>
        <w:r w:rsidR="00E22CE6" w:rsidRPr="00E22CE6">
          <w:rPr>
            <w:rFonts w:cs="Tahoma"/>
            <w:noProof/>
            <w:webHidden/>
            <w:szCs w:val="20"/>
          </w:rPr>
          <w:fldChar w:fldCharType="begin"/>
        </w:r>
        <w:r w:rsidR="00E22CE6" w:rsidRPr="00E22CE6">
          <w:rPr>
            <w:rFonts w:cs="Tahoma"/>
            <w:noProof/>
            <w:webHidden/>
            <w:szCs w:val="20"/>
          </w:rPr>
          <w:instrText xml:space="preserve"> PAGEREF _Toc161933123 \h </w:instrText>
        </w:r>
        <w:r w:rsidR="00E22CE6" w:rsidRPr="00E22CE6">
          <w:rPr>
            <w:rFonts w:cs="Tahoma"/>
            <w:noProof/>
            <w:webHidden/>
            <w:szCs w:val="20"/>
          </w:rPr>
        </w:r>
        <w:r w:rsidR="00E22CE6" w:rsidRPr="00E22CE6">
          <w:rPr>
            <w:rFonts w:cs="Tahoma"/>
            <w:noProof/>
            <w:webHidden/>
            <w:szCs w:val="20"/>
          </w:rPr>
          <w:fldChar w:fldCharType="separate"/>
        </w:r>
        <w:r w:rsidR="00E873AF">
          <w:rPr>
            <w:rFonts w:cs="Tahoma"/>
            <w:noProof/>
            <w:webHidden/>
            <w:szCs w:val="20"/>
          </w:rPr>
          <w:t>15</w:t>
        </w:r>
        <w:r w:rsidR="00E22CE6" w:rsidRPr="00E22CE6">
          <w:rPr>
            <w:rFonts w:cs="Tahoma"/>
            <w:noProof/>
            <w:webHidden/>
            <w:szCs w:val="20"/>
          </w:rPr>
          <w:fldChar w:fldCharType="end"/>
        </w:r>
      </w:hyperlink>
    </w:p>
    <w:p w14:paraId="2B6ED02E" w14:textId="357F7391" w:rsidR="00E22CE6" w:rsidRPr="00E22CE6" w:rsidRDefault="00000000" w:rsidP="00E22CE6">
      <w:pPr>
        <w:pStyle w:val="Sommario2"/>
        <w:tabs>
          <w:tab w:val="right" w:leader="dot" w:pos="9202"/>
        </w:tabs>
        <w:spacing w:before="60" w:after="60" w:line="326" w:lineRule="auto"/>
        <w:rPr>
          <w:rFonts w:eastAsiaTheme="minorEastAsia" w:cs="Tahoma"/>
          <w:noProof/>
          <w:kern w:val="2"/>
          <w:szCs w:val="20"/>
          <w14:ligatures w14:val="standardContextual"/>
        </w:rPr>
      </w:pPr>
      <w:hyperlink w:anchor="_Toc161933124" w:history="1">
        <w:r w:rsidR="00E22CE6" w:rsidRPr="00E22CE6">
          <w:rPr>
            <w:rStyle w:val="Collegamentoipertestuale"/>
            <w:rFonts w:cs="Tahoma"/>
            <w:noProof/>
            <w:szCs w:val="20"/>
          </w:rPr>
          <w:t>1.7 Le Convenzioni internazionali</w:t>
        </w:r>
        <w:r w:rsidR="00E22CE6" w:rsidRPr="00E22CE6">
          <w:rPr>
            <w:rFonts w:cs="Tahoma"/>
            <w:noProof/>
            <w:webHidden/>
            <w:szCs w:val="20"/>
          </w:rPr>
          <w:tab/>
        </w:r>
        <w:r w:rsidR="00E22CE6" w:rsidRPr="00E22CE6">
          <w:rPr>
            <w:rFonts w:cs="Tahoma"/>
            <w:noProof/>
            <w:webHidden/>
            <w:szCs w:val="20"/>
          </w:rPr>
          <w:fldChar w:fldCharType="begin"/>
        </w:r>
        <w:r w:rsidR="00E22CE6" w:rsidRPr="00E22CE6">
          <w:rPr>
            <w:rFonts w:cs="Tahoma"/>
            <w:noProof/>
            <w:webHidden/>
            <w:szCs w:val="20"/>
          </w:rPr>
          <w:instrText xml:space="preserve"> PAGEREF _Toc161933124 \h </w:instrText>
        </w:r>
        <w:r w:rsidR="00E22CE6" w:rsidRPr="00E22CE6">
          <w:rPr>
            <w:rFonts w:cs="Tahoma"/>
            <w:noProof/>
            <w:webHidden/>
            <w:szCs w:val="20"/>
          </w:rPr>
        </w:r>
        <w:r w:rsidR="00E22CE6" w:rsidRPr="00E22CE6">
          <w:rPr>
            <w:rFonts w:cs="Tahoma"/>
            <w:noProof/>
            <w:webHidden/>
            <w:szCs w:val="20"/>
          </w:rPr>
          <w:fldChar w:fldCharType="separate"/>
        </w:r>
        <w:r w:rsidR="00E873AF">
          <w:rPr>
            <w:rFonts w:cs="Tahoma"/>
            <w:noProof/>
            <w:webHidden/>
            <w:szCs w:val="20"/>
          </w:rPr>
          <w:t>16</w:t>
        </w:r>
        <w:r w:rsidR="00E22CE6" w:rsidRPr="00E22CE6">
          <w:rPr>
            <w:rFonts w:cs="Tahoma"/>
            <w:noProof/>
            <w:webHidden/>
            <w:szCs w:val="20"/>
          </w:rPr>
          <w:fldChar w:fldCharType="end"/>
        </w:r>
      </w:hyperlink>
    </w:p>
    <w:p w14:paraId="55352F61" w14:textId="7BA40B06" w:rsidR="00E22CE6" w:rsidRPr="00E22CE6" w:rsidRDefault="00000000" w:rsidP="00E22CE6">
      <w:pPr>
        <w:pStyle w:val="Sommario1"/>
        <w:rPr>
          <w:rFonts w:eastAsiaTheme="minorEastAsia"/>
          <w:b w:val="0"/>
          <w:kern w:val="2"/>
          <w14:ligatures w14:val="standardContextual"/>
        </w:rPr>
      </w:pPr>
      <w:hyperlink w:anchor="_Toc161933125" w:history="1">
        <w:r w:rsidR="00E22CE6" w:rsidRPr="00E22CE6">
          <w:rPr>
            <w:rStyle w:val="Collegamentoipertestuale"/>
            <w:rFonts w:cs="Tahoma"/>
          </w:rPr>
          <w:t>2. I redditi di lavoro dipendente</w:t>
        </w:r>
        <w:r w:rsidR="00E22CE6" w:rsidRPr="00E22CE6">
          <w:rPr>
            <w:webHidden/>
          </w:rPr>
          <w:tab/>
        </w:r>
        <w:r w:rsidR="00E22CE6" w:rsidRPr="00E22CE6">
          <w:rPr>
            <w:webHidden/>
          </w:rPr>
          <w:fldChar w:fldCharType="begin"/>
        </w:r>
        <w:r w:rsidR="00E22CE6" w:rsidRPr="00E22CE6">
          <w:rPr>
            <w:webHidden/>
          </w:rPr>
          <w:instrText xml:space="preserve"> PAGEREF _Toc161933125 \h </w:instrText>
        </w:r>
        <w:r w:rsidR="00E22CE6" w:rsidRPr="00E22CE6">
          <w:rPr>
            <w:webHidden/>
          </w:rPr>
        </w:r>
        <w:r w:rsidR="00E22CE6" w:rsidRPr="00E22CE6">
          <w:rPr>
            <w:webHidden/>
          </w:rPr>
          <w:fldChar w:fldCharType="separate"/>
        </w:r>
        <w:r w:rsidR="00E873AF">
          <w:rPr>
            <w:webHidden/>
          </w:rPr>
          <w:t>18</w:t>
        </w:r>
        <w:r w:rsidR="00E22CE6" w:rsidRPr="00E22CE6">
          <w:rPr>
            <w:webHidden/>
          </w:rPr>
          <w:fldChar w:fldCharType="end"/>
        </w:r>
      </w:hyperlink>
    </w:p>
    <w:p w14:paraId="74677EB1" w14:textId="61B3CF51" w:rsidR="00E22CE6" w:rsidRPr="00E22CE6" w:rsidRDefault="00000000" w:rsidP="00E22CE6">
      <w:pPr>
        <w:pStyle w:val="Sommario2"/>
        <w:tabs>
          <w:tab w:val="right" w:leader="dot" w:pos="9202"/>
        </w:tabs>
        <w:spacing w:before="60" w:after="60" w:line="326" w:lineRule="auto"/>
        <w:rPr>
          <w:rFonts w:eastAsiaTheme="minorEastAsia" w:cs="Tahoma"/>
          <w:noProof/>
          <w:kern w:val="2"/>
          <w:szCs w:val="20"/>
          <w14:ligatures w14:val="standardContextual"/>
        </w:rPr>
      </w:pPr>
      <w:hyperlink w:anchor="_Toc161933126" w:history="1">
        <w:r w:rsidR="00E22CE6" w:rsidRPr="00E22CE6">
          <w:rPr>
            <w:rStyle w:val="Collegamentoipertestuale"/>
            <w:rFonts w:cs="Tahoma"/>
            <w:noProof/>
            <w:szCs w:val="20"/>
          </w:rPr>
          <w:t>2.1 Principi generali</w:t>
        </w:r>
        <w:r w:rsidR="00E22CE6" w:rsidRPr="00E22CE6">
          <w:rPr>
            <w:rFonts w:cs="Tahoma"/>
            <w:noProof/>
            <w:webHidden/>
            <w:szCs w:val="20"/>
          </w:rPr>
          <w:tab/>
        </w:r>
        <w:r w:rsidR="00E22CE6" w:rsidRPr="00E22CE6">
          <w:rPr>
            <w:rFonts w:cs="Tahoma"/>
            <w:noProof/>
            <w:webHidden/>
            <w:szCs w:val="20"/>
          </w:rPr>
          <w:fldChar w:fldCharType="begin"/>
        </w:r>
        <w:r w:rsidR="00E22CE6" w:rsidRPr="00E22CE6">
          <w:rPr>
            <w:rFonts w:cs="Tahoma"/>
            <w:noProof/>
            <w:webHidden/>
            <w:szCs w:val="20"/>
          </w:rPr>
          <w:instrText xml:space="preserve"> PAGEREF _Toc161933126 \h </w:instrText>
        </w:r>
        <w:r w:rsidR="00E22CE6" w:rsidRPr="00E22CE6">
          <w:rPr>
            <w:rFonts w:cs="Tahoma"/>
            <w:noProof/>
            <w:webHidden/>
            <w:szCs w:val="20"/>
          </w:rPr>
        </w:r>
        <w:r w:rsidR="00E22CE6" w:rsidRPr="00E22CE6">
          <w:rPr>
            <w:rFonts w:cs="Tahoma"/>
            <w:noProof/>
            <w:webHidden/>
            <w:szCs w:val="20"/>
          </w:rPr>
          <w:fldChar w:fldCharType="separate"/>
        </w:r>
        <w:r w:rsidR="00E873AF">
          <w:rPr>
            <w:rFonts w:cs="Tahoma"/>
            <w:noProof/>
            <w:webHidden/>
            <w:szCs w:val="20"/>
          </w:rPr>
          <w:t>18</w:t>
        </w:r>
        <w:r w:rsidR="00E22CE6" w:rsidRPr="00E22CE6">
          <w:rPr>
            <w:rFonts w:cs="Tahoma"/>
            <w:noProof/>
            <w:webHidden/>
            <w:szCs w:val="20"/>
          </w:rPr>
          <w:fldChar w:fldCharType="end"/>
        </w:r>
      </w:hyperlink>
    </w:p>
    <w:p w14:paraId="41744011" w14:textId="110F82FD" w:rsidR="00E22CE6" w:rsidRPr="00E22CE6" w:rsidRDefault="00000000" w:rsidP="00E22CE6">
      <w:pPr>
        <w:pStyle w:val="Sommario3"/>
        <w:spacing w:before="60" w:after="60" w:line="326" w:lineRule="auto"/>
        <w:rPr>
          <w:rFonts w:eastAsiaTheme="minorEastAsia"/>
          <w:i w:val="0"/>
          <w:kern w:val="2"/>
          <w14:ligatures w14:val="standardContextual"/>
        </w:rPr>
      </w:pPr>
      <w:hyperlink w:anchor="_Toc161933127" w:history="1">
        <w:r w:rsidR="00E22CE6" w:rsidRPr="00E22CE6">
          <w:rPr>
            <w:rStyle w:val="Collegamentoipertestuale"/>
            <w:rFonts w:cs="Tahoma"/>
          </w:rPr>
          <w:t>2.1.1 Criteri generali di tassazione secondo la normativa italiana</w:t>
        </w:r>
        <w:r w:rsidR="00E22CE6" w:rsidRPr="00E22CE6">
          <w:rPr>
            <w:webHidden/>
          </w:rPr>
          <w:tab/>
        </w:r>
        <w:r w:rsidR="00E22CE6" w:rsidRPr="00E22CE6">
          <w:rPr>
            <w:webHidden/>
          </w:rPr>
          <w:fldChar w:fldCharType="begin"/>
        </w:r>
        <w:r w:rsidR="00E22CE6" w:rsidRPr="00E22CE6">
          <w:rPr>
            <w:webHidden/>
          </w:rPr>
          <w:instrText xml:space="preserve"> PAGEREF _Toc161933127 \h </w:instrText>
        </w:r>
        <w:r w:rsidR="00E22CE6" w:rsidRPr="00E22CE6">
          <w:rPr>
            <w:webHidden/>
          </w:rPr>
        </w:r>
        <w:r w:rsidR="00E22CE6" w:rsidRPr="00E22CE6">
          <w:rPr>
            <w:webHidden/>
          </w:rPr>
          <w:fldChar w:fldCharType="separate"/>
        </w:r>
        <w:r w:rsidR="00E873AF">
          <w:rPr>
            <w:webHidden/>
          </w:rPr>
          <w:t>19</w:t>
        </w:r>
        <w:r w:rsidR="00E22CE6" w:rsidRPr="00E22CE6">
          <w:rPr>
            <w:webHidden/>
          </w:rPr>
          <w:fldChar w:fldCharType="end"/>
        </w:r>
      </w:hyperlink>
    </w:p>
    <w:p w14:paraId="23CA9815" w14:textId="5721950E" w:rsidR="00E22CE6" w:rsidRPr="00E22CE6" w:rsidRDefault="00000000" w:rsidP="00E22CE6">
      <w:pPr>
        <w:pStyle w:val="Sommario3"/>
        <w:spacing w:before="60" w:after="60" w:line="326" w:lineRule="auto"/>
        <w:rPr>
          <w:rFonts w:eastAsiaTheme="minorEastAsia"/>
          <w:i w:val="0"/>
          <w:kern w:val="2"/>
          <w14:ligatures w14:val="standardContextual"/>
        </w:rPr>
      </w:pPr>
      <w:hyperlink w:anchor="_Toc161933128" w:history="1">
        <w:r w:rsidR="00E22CE6" w:rsidRPr="00E22CE6">
          <w:rPr>
            <w:rStyle w:val="Collegamentoipertestuale"/>
            <w:rFonts w:cs="Tahoma"/>
          </w:rPr>
          <w:t>2.1.2 I lavoratori frontalieri</w:t>
        </w:r>
        <w:r w:rsidR="00E22CE6" w:rsidRPr="00E22CE6">
          <w:rPr>
            <w:webHidden/>
          </w:rPr>
          <w:tab/>
        </w:r>
        <w:r w:rsidR="00E22CE6" w:rsidRPr="00E22CE6">
          <w:rPr>
            <w:webHidden/>
          </w:rPr>
          <w:fldChar w:fldCharType="begin"/>
        </w:r>
        <w:r w:rsidR="00E22CE6" w:rsidRPr="00E22CE6">
          <w:rPr>
            <w:webHidden/>
          </w:rPr>
          <w:instrText xml:space="preserve"> PAGEREF _Toc161933128 \h </w:instrText>
        </w:r>
        <w:r w:rsidR="00E22CE6" w:rsidRPr="00E22CE6">
          <w:rPr>
            <w:webHidden/>
          </w:rPr>
        </w:r>
        <w:r w:rsidR="00E22CE6" w:rsidRPr="00E22CE6">
          <w:rPr>
            <w:webHidden/>
          </w:rPr>
          <w:fldChar w:fldCharType="separate"/>
        </w:r>
        <w:r w:rsidR="00E873AF">
          <w:rPr>
            <w:webHidden/>
          </w:rPr>
          <w:t>20</w:t>
        </w:r>
        <w:r w:rsidR="00E22CE6" w:rsidRPr="00E22CE6">
          <w:rPr>
            <w:webHidden/>
          </w:rPr>
          <w:fldChar w:fldCharType="end"/>
        </w:r>
      </w:hyperlink>
    </w:p>
    <w:p w14:paraId="2E39112E" w14:textId="0AFCADD4" w:rsidR="00E22CE6" w:rsidRPr="00E22CE6" w:rsidRDefault="00000000" w:rsidP="00E22CE6">
      <w:pPr>
        <w:pStyle w:val="Sommario3"/>
        <w:spacing w:before="60" w:after="60" w:line="326" w:lineRule="auto"/>
        <w:rPr>
          <w:rFonts w:eastAsiaTheme="minorEastAsia"/>
          <w:i w:val="0"/>
          <w:kern w:val="2"/>
          <w14:ligatures w14:val="standardContextual"/>
        </w:rPr>
      </w:pPr>
      <w:hyperlink w:anchor="_Toc161933129" w:history="1">
        <w:r w:rsidR="00E22CE6" w:rsidRPr="00E22CE6">
          <w:rPr>
            <w:rStyle w:val="Collegamentoipertestuale"/>
            <w:rFonts w:cs="Tahoma"/>
          </w:rPr>
          <w:t>2.1.3 Frontalieri in Svizzera con nuovo regime fiscale</w:t>
        </w:r>
        <w:r w:rsidR="00E22CE6" w:rsidRPr="00E22CE6">
          <w:rPr>
            <w:webHidden/>
          </w:rPr>
          <w:tab/>
        </w:r>
        <w:r w:rsidR="00E22CE6" w:rsidRPr="00E22CE6">
          <w:rPr>
            <w:webHidden/>
          </w:rPr>
          <w:fldChar w:fldCharType="begin"/>
        </w:r>
        <w:r w:rsidR="00E22CE6" w:rsidRPr="00E22CE6">
          <w:rPr>
            <w:webHidden/>
          </w:rPr>
          <w:instrText xml:space="preserve"> PAGEREF _Toc161933129 \h </w:instrText>
        </w:r>
        <w:r w:rsidR="00E22CE6" w:rsidRPr="00E22CE6">
          <w:rPr>
            <w:webHidden/>
          </w:rPr>
        </w:r>
        <w:r w:rsidR="00E22CE6" w:rsidRPr="00E22CE6">
          <w:rPr>
            <w:webHidden/>
          </w:rPr>
          <w:fldChar w:fldCharType="separate"/>
        </w:r>
        <w:r w:rsidR="00E873AF">
          <w:rPr>
            <w:webHidden/>
          </w:rPr>
          <w:t>21</w:t>
        </w:r>
        <w:r w:rsidR="00E22CE6" w:rsidRPr="00E22CE6">
          <w:rPr>
            <w:webHidden/>
          </w:rPr>
          <w:fldChar w:fldCharType="end"/>
        </w:r>
      </w:hyperlink>
    </w:p>
    <w:p w14:paraId="5E54EA59" w14:textId="532B80D5" w:rsidR="00E22CE6" w:rsidRPr="00E22CE6" w:rsidRDefault="00000000" w:rsidP="00E22CE6">
      <w:pPr>
        <w:pStyle w:val="Sommario3"/>
        <w:spacing w:before="60" w:after="60" w:line="326" w:lineRule="auto"/>
        <w:rPr>
          <w:rFonts w:eastAsiaTheme="minorEastAsia"/>
          <w:i w:val="0"/>
          <w:kern w:val="2"/>
          <w14:ligatures w14:val="standardContextual"/>
        </w:rPr>
      </w:pPr>
      <w:hyperlink w:anchor="_Toc161933130" w:history="1">
        <w:r w:rsidR="00E22CE6" w:rsidRPr="00E22CE6">
          <w:rPr>
            <w:rStyle w:val="Collegamentoipertestuale"/>
            <w:rFonts w:cs="Tahoma"/>
          </w:rPr>
          <w:t>2.1.4 Le retribuzioni convenzionali</w:t>
        </w:r>
        <w:r w:rsidR="00E22CE6" w:rsidRPr="00E22CE6">
          <w:rPr>
            <w:webHidden/>
          </w:rPr>
          <w:tab/>
        </w:r>
        <w:r w:rsidR="00E22CE6" w:rsidRPr="00E22CE6">
          <w:rPr>
            <w:webHidden/>
          </w:rPr>
          <w:fldChar w:fldCharType="begin"/>
        </w:r>
        <w:r w:rsidR="00E22CE6" w:rsidRPr="00E22CE6">
          <w:rPr>
            <w:webHidden/>
          </w:rPr>
          <w:instrText xml:space="preserve"> PAGEREF _Toc161933130 \h </w:instrText>
        </w:r>
        <w:r w:rsidR="00E22CE6" w:rsidRPr="00E22CE6">
          <w:rPr>
            <w:webHidden/>
          </w:rPr>
        </w:r>
        <w:r w:rsidR="00E22CE6" w:rsidRPr="00E22CE6">
          <w:rPr>
            <w:webHidden/>
          </w:rPr>
          <w:fldChar w:fldCharType="separate"/>
        </w:r>
        <w:r w:rsidR="00E873AF">
          <w:rPr>
            <w:webHidden/>
          </w:rPr>
          <w:t>22</w:t>
        </w:r>
        <w:r w:rsidR="00E22CE6" w:rsidRPr="00E22CE6">
          <w:rPr>
            <w:webHidden/>
          </w:rPr>
          <w:fldChar w:fldCharType="end"/>
        </w:r>
      </w:hyperlink>
    </w:p>
    <w:p w14:paraId="7AAF53F6" w14:textId="0C075275" w:rsidR="00E22CE6" w:rsidRPr="00E22CE6" w:rsidRDefault="00000000" w:rsidP="00E22CE6">
      <w:pPr>
        <w:pStyle w:val="Sommario3"/>
        <w:spacing w:before="60" w:after="60" w:line="326" w:lineRule="auto"/>
        <w:rPr>
          <w:rFonts w:eastAsiaTheme="minorEastAsia"/>
          <w:i w:val="0"/>
          <w:kern w:val="2"/>
          <w14:ligatures w14:val="standardContextual"/>
        </w:rPr>
      </w:pPr>
      <w:hyperlink w:anchor="_Toc161933131" w:history="1">
        <w:r w:rsidR="00E22CE6" w:rsidRPr="00E22CE6">
          <w:rPr>
            <w:rStyle w:val="Collegamentoipertestuale"/>
            <w:rFonts w:cs="Tahoma"/>
          </w:rPr>
          <w:t>2.1.5 Addizionale del 10% per i dirigenti del settore finanziario</w:t>
        </w:r>
        <w:r w:rsidR="00E22CE6" w:rsidRPr="00E22CE6">
          <w:rPr>
            <w:webHidden/>
          </w:rPr>
          <w:tab/>
        </w:r>
        <w:r w:rsidR="00E22CE6" w:rsidRPr="00E22CE6">
          <w:rPr>
            <w:webHidden/>
          </w:rPr>
          <w:fldChar w:fldCharType="begin"/>
        </w:r>
        <w:r w:rsidR="00E22CE6" w:rsidRPr="00E22CE6">
          <w:rPr>
            <w:webHidden/>
          </w:rPr>
          <w:instrText xml:space="preserve"> PAGEREF _Toc161933131 \h </w:instrText>
        </w:r>
        <w:r w:rsidR="00E22CE6" w:rsidRPr="00E22CE6">
          <w:rPr>
            <w:webHidden/>
          </w:rPr>
        </w:r>
        <w:r w:rsidR="00E22CE6" w:rsidRPr="00E22CE6">
          <w:rPr>
            <w:webHidden/>
          </w:rPr>
          <w:fldChar w:fldCharType="separate"/>
        </w:r>
        <w:r w:rsidR="00E873AF">
          <w:rPr>
            <w:webHidden/>
          </w:rPr>
          <w:t>24</w:t>
        </w:r>
        <w:r w:rsidR="00E22CE6" w:rsidRPr="00E22CE6">
          <w:rPr>
            <w:webHidden/>
          </w:rPr>
          <w:fldChar w:fldCharType="end"/>
        </w:r>
      </w:hyperlink>
    </w:p>
    <w:p w14:paraId="3334F955" w14:textId="78B225EE" w:rsidR="00E22CE6" w:rsidRPr="00E22CE6" w:rsidRDefault="00000000" w:rsidP="00E22CE6">
      <w:pPr>
        <w:pStyle w:val="Sommario2"/>
        <w:tabs>
          <w:tab w:val="right" w:leader="dot" w:pos="9202"/>
        </w:tabs>
        <w:spacing w:before="60" w:after="60" w:line="326" w:lineRule="auto"/>
        <w:rPr>
          <w:rFonts w:eastAsiaTheme="minorEastAsia" w:cs="Tahoma"/>
          <w:noProof/>
          <w:kern w:val="2"/>
          <w:szCs w:val="20"/>
          <w14:ligatures w14:val="standardContextual"/>
        </w:rPr>
      </w:pPr>
      <w:hyperlink w:anchor="_Toc161933132" w:history="1">
        <w:r w:rsidR="00E22CE6" w:rsidRPr="00E22CE6">
          <w:rPr>
            <w:rStyle w:val="Collegamentoipertestuale"/>
            <w:rFonts w:cs="Tahoma"/>
            <w:noProof/>
            <w:szCs w:val="20"/>
          </w:rPr>
          <w:t>2.2 Convenzioni contro le doppie imposizioni</w:t>
        </w:r>
        <w:r w:rsidR="00E22CE6" w:rsidRPr="00E22CE6">
          <w:rPr>
            <w:rFonts w:cs="Tahoma"/>
            <w:noProof/>
            <w:webHidden/>
            <w:szCs w:val="20"/>
          </w:rPr>
          <w:tab/>
        </w:r>
        <w:r w:rsidR="00E22CE6" w:rsidRPr="00E22CE6">
          <w:rPr>
            <w:rFonts w:cs="Tahoma"/>
            <w:noProof/>
            <w:webHidden/>
            <w:szCs w:val="20"/>
          </w:rPr>
          <w:fldChar w:fldCharType="begin"/>
        </w:r>
        <w:r w:rsidR="00E22CE6" w:rsidRPr="00E22CE6">
          <w:rPr>
            <w:rFonts w:cs="Tahoma"/>
            <w:noProof/>
            <w:webHidden/>
            <w:szCs w:val="20"/>
          </w:rPr>
          <w:instrText xml:space="preserve"> PAGEREF _Toc161933132 \h </w:instrText>
        </w:r>
        <w:r w:rsidR="00E22CE6" w:rsidRPr="00E22CE6">
          <w:rPr>
            <w:rFonts w:cs="Tahoma"/>
            <w:noProof/>
            <w:webHidden/>
            <w:szCs w:val="20"/>
          </w:rPr>
        </w:r>
        <w:r w:rsidR="00E22CE6" w:rsidRPr="00E22CE6">
          <w:rPr>
            <w:rFonts w:cs="Tahoma"/>
            <w:noProof/>
            <w:webHidden/>
            <w:szCs w:val="20"/>
          </w:rPr>
          <w:fldChar w:fldCharType="separate"/>
        </w:r>
        <w:r w:rsidR="00E873AF">
          <w:rPr>
            <w:rFonts w:cs="Tahoma"/>
            <w:noProof/>
            <w:webHidden/>
            <w:szCs w:val="20"/>
          </w:rPr>
          <w:t>24</w:t>
        </w:r>
        <w:r w:rsidR="00E22CE6" w:rsidRPr="00E22CE6">
          <w:rPr>
            <w:rFonts w:cs="Tahoma"/>
            <w:noProof/>
            <w:webHidden/>
            <w:szCs w:val="20"/>
          </w:rPr>
          <w:fldChar w:fldCharType="end"/>
        </w:r>
      </w:hyperlink>
    </w:p>
    <w:p w14:paraId="124DFA30" w14:textId="1976B820" w:rsidR="00E22CE6" w:rsidRPr="00E22CE6" w:rsidRDefault="00000000" w:rsidP="00E22CE6">
      <w:pPr>
        <w:pStyle w:val="Sommario2"/>
        <w:tabs>
          <w:tab w:val="right" w:leader="dot" w:pos="9202"/>
        </w:tabs>
        <w:spacing w:before="60" w:after="60" w:line="326" w:lineRule="auto"/>
        <w:rPr>
          <w:rFonts w:eastAsiaTheme="minorEastAsia" w:cs="Tahoma"/>
          <w:noProof/>
          <w:kern w:val="2"/>
          <w:szCs w:val="20"/>
          <w14:ligatures w14:val="standardContextual"/>
        </w:rPr>
      </w:pPr>
      <w:hyperlink w:anchor="_Toc161933133" w:history="1">
        <w:r w:rsidR="00E22CE6" w:rsidRPr="00E22CE6">
          <w:rPr>
            <w:rStyle w:val="Collegamentoipertestuale"/>
            <w:rFonts w:cs="Tahoma"/>
            <w:noProof/>
            <w:szCs w:val="20"/>
          </w:rPr>
          <w:t>2.3 Credito per le imposte pagate all’estero</w:t>
        </w:r>
        <w:r w:rsidR="00E22CE6" w:rsidRPr="00E22CE6">
          <w:rPr>
            <w:rFonts w:cs="Tahoma"/>
            <w:noProof/>
            <w:webHidden/>
            <w:szCs w:val="20"/>
          </w:rPr>
          <w:tab/>
        </w:r>
        <w:r w:rsidR="00E22CE6" w:rsidRPr="00E22CE6">
          <w:rPr>
            <w:rFonts w:cs="Tahoma"/>
            <w:noProof/>
            <w:webHidden/>
            <w:szCs w:val="20"/>
          </w:rPr>
          <w:fldChar w:fldCharType="begin"/>
        </w:r>
        <w:r w:rsidR="00E22CE6" w:rsidRPr="00E22CE6">
          <w:rPr>
            <w:rFonts w:cs="Tahoma"/>
            <w:noProof/>
            <w:webHidden/>
            <w:szCs w:val="20"/>
          </w:rPr>
          <w:instrText xml:space="preserve"> PAGEREF _Toc161933133 \h </w:instrText>
        </w:r>
        <w:r w:rsidR="00E22CE6" w:rsidRPr="00E22CE6">
          <w:rPr>
            <w:rFonts w:cs="Tahoma"/>
            <w:noProof/>
            <w:webHidden/>
            <w:szCs w:val="20"/>
          </w:rPr>
        </w:r>
        <w:r w:rsidR="00E22CE6" w:rsidRPr="00E22CE6">
          <w:rPr>
            <w:rFonts w:cs="Tahoma"/>
            <w:noProof/>
            <w:webHidden/>
            <w:szCs w:val="20"/>
          </w:rPr>
          <w:fldChar w:fldCharType="separate"/>
        </w:r>
        <w:r w:rsidR="00E873AF">
          <w:rPr>
            <w:rFonts w:cs="Tahoma"/>
            <w:noProof/>
            <w:webHidden/>
            <w:szCs w:val="20"/>
          </w:rPr>
          <w:t>25</w:t>
        </w:r>
        <w:r w:rsidR="00E22CE6" w:rsidRPr="00E22CE6">
          <w:rPr>
            <w:rFonts w:cs="Tahoma"/>
            <w:noProof/>
            <w:webHidden/>
            <w:szCs w:val="20"/>
          </w:rPr>
          <w:fldChar w:fldCharType="end"/>
        </w:r>
      </w:hyperlink>
    </w:p>
    <w:p w14:paraId="5483C1C7" w14:textId="771D5D8D" w:rsidR="00E22CE6" w:rsidRPr="00E22CE6" w:rsidRDefault="00000000" w:rsidP="00E22CE6">
      <w:pPr>
        <w:pStyle w:val="Sommario2"/>
        <w:tabs>
          <w:tab w:val="right" w:leader="dot" w:pos="9202"/>
        </w:tabs>
        <w:spacing w:before="60" w:after="60" w:line="326" w:lineRule="auto"/>
        <w:rPr>
          <w:rFonts w:eastAsiaTheme="minorEastAsia" w:cs="Tahoma"/>
          <w:noProof/>
          <w:kern w:val="2"/>
          <w:szCs w:val="20"/>
          <w14:ligatures w14:val="standardContextual"/>
        </w:rPr>
      </w:pPr>
      <w:hyperlink w:anchor="_Toc161933134" w:history="1">
        <w:r w:rsidR="00E22CE6" w:rsidRPr="00E22CE6">
          <w:rPr>
            <w:rStyle w:val="Collegamentoipertestuale"/>
            <w:rFonts w:cs="Tahoma"/>
            <w:noProof/>
            <w:szCs w:val="20"/>
          </w:rPr>
          <w:t>2.4 Indicazione del reddito nel quadro RC del modello REDDITI</w:t>
        </w:r>
        <w:r w:rsidR="00E22CE6" w:rsidRPr="00E22CE6">
          <w:rPr>
            <w:rFonts w:cs="Tahoma"/>
            <w:noProof/>
            <w:webHidden/>
            <w:szCs w:val="20"/>
          </w:rPr>
          <w:tab/>
        </w:r>
        <w:r w:rsidR="00E22CE6" w:rsidRPr="00E22CE6">
          <w:rPr>
            <w:rFonts w:cs="Tahoma"/>
            <w:noProof/>
            <w:webHidden/>
            <w:szCs w:val="20"/>
          </w:rPr>
          <w:fldChar w:fldCharType="begin"/>
        </w:r>
        <w:r w:rsidR="00E22CE6" w:rsidRPr="00E22CE6">
          <w:rPr>
            <w:rFonts w:cs="Tahoma"/>
            <w:noProof/>
            <w:webHidden/>
            <w:szCs w:val="20"/>
          </w:rPr>
          <w:instrText xml:space="preserve"> PAGEREF _Toc161933134 \h </w:instrText>
        </w:r>
        <w:r w:rsidR="00E22CE6" w:rsidRPr="00E22CE6">
          <w:rPr>
            <w:rFonts w:cs="Tahoma"/>
            <w:noProof/>
            <w:webHidden/>
            <w:szCs w:val="20"/>
          </w:rPr>
        </w:r>
        <w:r w:rsidR="00E22CE6" w:rsidRPr="00E22CE6">
          <w:rPr>
            <w:rFonts w:cs="Tahoma"/>
            <w:noProof/>
            <w:webHidden/>
            <w:szCs w:val="20"/>
          </w:rPr>
          <w:fldChar w:fldCharType="separate"/>
        </w:r>
        <w:r w:rsidR="00E873AF">
          <w:rPr>
            <w:rFonts w:cs="Tahoma"/>
            <w:noProof/>
            <w:webHidden/>
            <w:szCs w:val="20"/>
          </w:rPr>
          <w:t>25</w:t>
        </w:r>
        <w:r w:rsidR="00E22CE6" w:rsidRPr="00E22CE6">
          <w:rPr>
            <w:rFonts w:cs="Tahoma"/>
            <w:noProof/>
            <w:webHidden/>
            <w:szCs w:val="20"/>
          </w:rPr>
          <w:fldChar w:fldCharType="end"/>
        </w:r>
      </w:hyperlink>
    </w:p>
    <w:p w14:paraId="5DADCDED" w14:textId="1D9BEF4C" w:rsidR="00E22CE6" w:rsidRPr="00E22CE6" w:rsidRDefault="00000000" w:rsidP="00E22CE6">
      <w:pPr>
        <w:pStyle w:val="Sommario3"/>
        <w:spacing w:before="60" w:after="60" w:line="326" w:lineRule="auto"/>
        <w:rPr>
          <w:rFonts w:eastAsiaTheme="minorEastAsia"/>
          <w:i w:val="0"/>
          <w:kern w:val="2"/>
          <w14:ligatures w14:val="standardContextual"/>
        </w:rPr>
      </w:pPr>
      <w:hyperlink w:anchor="_Toc161933135" w:history="1">
        <w:r w:rsidR="00E22CE6" w:rsidRPr="00E22CE6">
          <w:rPr>
            <w:rStyle w:val="Collegamentoipertestuale"/>
            <w:rFonts w:cs="Tahoma"/>
          </w:rPr>
          <w:t>2.4.1 Redditi tassati nei modi ordinari o secondo le retribuzioni convenzionali</w:t>
        </w:r>
        <w:r w:rsidR="00E22CE6" w:rsidRPr="00E22CE6">
          <w:rPr>
            <w:webHidden/>
          </w:rPr>
          <w:tab/>
        </w:r>
        <w:r w:rsidR="00E22CE6" w:rsidRPr="00E22CE6">
          <w:rPr>
            <w:webHidden/>
          </w:rPr>
          <w:fldChar w:fldCharType="begin"/>
        </w:r>
        <w:r w:rsidR="00E22CE6" w:rsidRPr="00E22CE6">
          <w:rPr>
            <w:webHidden/>
          </w:rPr>
          <w:instrText xml:space="preserve"> PAGEREF _Toc161933135 \h </w:instrText>
        </w:r>
        <w:r w:rsidR="00E22CE6" w:rsidRPr="00E22CE6">
          <w:rPr>
            <w:webHidden/>
          </w:rPr>
        </w:r>
        <w:r w:rsidR="00E22CE6" w:rsidRPr="00E22CE6">
          <w:rPr>
            <w:webHidden/>
          </w:rPr>
          <w:fldChar w:fldCharType="separate"/>
        </w:r>
        <w:r w:rsidR="00E873AF">
          <w:rPr>
            <w:webHidden/>
          </w:rPr>
          <w:t>26</w:t>
        </w:r>
        <w:r w:rsidR="00E22CE6" w:rsidRPr="00E22CE6">
          <w:rPr>
            <w:webHidden/>
          </w:rPr>
          <w:fldChar w:fldCharType="end"/>
        </w:r>
      </w:hyperlink>
    </w:p>
    <w:p w14:paraId="6FC1E6BE" w14:textId="36BFF84B" w:rsidR="00E22CE6" w:rsidRPr="00E22CE6" w:rsidRDefault="00000000" w:rsidP="00E22CE6">
      <w:pPr>
        <w:pStyle w:val="Sommario3"/>
        <w:spacing w:before="60" w:after="60" w:line="326" w:lineRule="auto"/>
        <w:rPr>
          <w:rFonts w:eastAsiaTheme="minorEastAsia"/>
          <w:i w:val="0"/>
          <w:kern w:val="2"/>
          <w14:ligatures w14:val="standardContextual"/>
        </w:rPr>
      </w:pPr>
      <w:hyperlink w:anchor="_Toc161933136" w:history="1">
        <w:r w:rsidR="00E22CE6" w:rsidRPr="00E22CE6">
          <w:rPr>
            <w:rStyle w:val="Collegamentoipertestuale"/>
            <w:rFonts w:cs="Tahoma"/>
          </w:rPr>
          <w:t>2.4.2 Redditi dei lavoratori frontalieri</w:t>
        </w:r>
        <w:r w:rsidR="00E22CE6" w:rsidRPr="00E22CE6">
          <w:rPr>
            <w:webHidden/>
          </w:rPr>
          <w:tab/>
        </w:r>
        <w:r w:rsidR="00E22CE6" w:rsidRPr="00E22CE6">
          <w:rPr>
            <w:webHidden/>
          </w:rPr>
          <w:fldChar w:fldCharType="begin"/>
        </w:r>
        <w:r w:rsidR="00E22CE6" w:rsidRPr="00E22CE6">
          <w:rPr>
            <w:webHidden/>
          </w:rPr>
          <w:instrText xml:space="preserve"> PAGEREF _Toc161933136 \h </w:instrText>
        </w:r>
        <w:r w:rsidR="00E22CE6" w:rsidRPr="00E22CE6">
          <w:rPr>
            <w:webHidden/>
          </w:rPr>
        </w:r>
        <w:r w:rsidR="00E22CE6" w:rsidRPr="00E22CE6">
          <w:rPr>
            <w:webHidden/>
          </w:rPr>
          <w:fldChar w:fldCharType="separate"/>
        </w:r>
        <w:r w:rsidR="00E873AF">
          <w:rPr>
            <w:webHidden/>
          </w:rPr>
          <w:t>26</w:t>
        </w:r>
        <w:r w:rsidR="00E22CE6" w:rsidRPr="00E22CE6">
          <w:rPr>
            <w:webHidden/>
          </w:rPr>
          <w:fldChar w:fldCharType="end"/>
        </w:r>
      </w:hyperlink>
    </w:p>
    <w:p w14:paraId="7CBE0B91" w14:textId="4445F097" w:rsidR="00E22CE6" w:rsidRPr="00E22CE6" w:rsidRDefault="00000000" w:rsidP="00E22CE6">
      <w:pPr>
        <w:pStyle w:val="Sommario2"/>
        <w:tabs>
          <w:tab w:val="right" w:leader="dot" w:pos="9202"/>
        </w:tabs>
        <w:spacing w:before="60" w:after="60" w:line="326" w:lineRule="auto"/>
        <w:rPr>
          <w:rFonts w:eastAsiaTheme="minorEastAsia" w:cs="Tahoma"/>
          <w:noProof/>
          <w:kern w:val="2"/>
          <w:szCs w:val="20"/>
          <w14:ligatures w14:val="standardContextual"/>
        </w:rPr>
      </w:pPr>
      <w:hyperlink w:anchor="_Toc161933137" w:history="1">
        <w:r w:rsidR="00E22CE6" w:rsidRPr="00E22CE6">
          <w:rPr>
            <w:rStyle w:val="Collegamentoipertestuale"/>
            <w:rFonts w:cs="Tahoma"/>
            <w:noProof/>
            <w:szCs w:val="20"/>
          </w:rPr>
          <w:t>2.5 Territorialità dei redditi di lavoro dipendente incerta in epoca COVID</w:t>
        </w:r>
        <w:r w:rsidR="00E22CE6" w:rsidRPr="00E22CE6">
          <w:rPr>
            <w:rFonts w:cs="Tahoma"/>
            <w:noProof/>
            <w:webHidden/>
            <w:szCs w:val="20"/>
          </w:rPr>
          <w:tab/>
        </w:r>
        <w:r w:rsidR="00E22CE6" w:rsidRPr="00E22CE6">
          <w:rPr>
            <w:rFonts w:cs="Tahoma"/>
            <w:noProof/>
            <w:webHidden/>
            <w:szCs w:val="20"/>
          </w:rPr>
          <w:fldChar w:fldCharType="begin"/>
        </w:r>
        <w:r w:rsidR="00E22CE6" w:rsidRPr="00E22CE6">
          <w:rPr>
            <w:rFonts w:cs="Tahoma"/>
            <w:noProof/>
            <w:webHidden/>
            <w:szCs w:val="20"/>
          </w:rPr>
          <w:instrText xml:space="preserve"> PAGEREF _Toc161933137 \h </w:instrText>
        </w:r>
        <w:r w:rsidR="00E22CE6" w:rsidRPr="00E22CE6">
          <w:rPr>
            <w:rFonts w:cs="Tahoma"/>
            <w:noProof/>
            <w:webHidden/>
            <w:szCs w:val="20"/>
          </w:rPr>
        </w:r>
        <w:r w:rsidR="00E22CE6" w:rsidRPr="00E22CE6">
          <w:rPr>
            <w:rFonts w:cs="Tahoma"/>
            <w:noProof/>
            <w:webHidden/>
            <w:szCs w:val="20"/>
          </w:rPr>
          <w:fldChar w:fldCharType="separate"/>
        </w:r>
        <w:r w:rsidR="00E873AF">
          <w:rPr>
            <w:rFonts w:cs="Tahoma"/>
            <w:noProof/>
            <w:webHidden/>
            <w:szCs w:val="20"/>
          </w:rPr>
          <w:t>27</w:t>
        </w:r>
        <w:r w:rsidR="00E22CE6" w:rsidRPr="00E22CE6">
          <w:rPr>
            <w:rFonts w:cs="Tahoma"/>
            <w:noProof/>
            <w:webHidden/>
            <w:szCs w:val="20"/>
          </w:rPr>
          <w:fldChar w:fldCharType="end"/>
        </w:r>
      </w:hyperlink>
    </w:p>
    <w:p w14:paraId="21CEC651" w14:textId="0931B57A" w:rsidR="00E22CE6" w:rsidRPr="00E22CE6" w:rsidRDefault="00000000" w:rsidP="00E22CE6">
      <w:pPr>
        <w:pStyle w:val="Sommario2"/>
        <w:tabs>
          <w:tab w:val="right" w:leader="dot" w:pos="9202"/>
        </w:tabs>
        <w:spacing w:before="60" w:after="60" w:line="326" w:lineRule="auto"/>
        <w:rPr>
          <w:rFonts w:eastAsiaTheme="minorEastAsia" w:cs="Tahoma"/>
          <w:noProof/>
          <w:kern w:val="2"/>
          <w:szCs w:val="20"/>
          <w14:ligatures w14:val="standardContextual"/>
        </w:rPr>
      </w:pPr>
      <w:hyperlink w:anchor="_Toc161933138" w:history="1">
        <w:r w:rsidR="00E22CE6" w:rsidRPr="00E22CE6">
          <w:rPr>
            <w:rStyle w:val="Collegamentoipertestuale"/>
            <w:rFonts w:cs="Tahoma"/>
            <w:noProof/>
            <w:szCs w:val="20"/>
          </w:rPr>
          <w:t>2.6 Prestazioni rese in via straordinaria in remote working</w:t>
        </w:r>
        <w:r w:rsidR="00E22CE6" w:rsidRPr="00E22CE6">
          <w:rPr>
            <w:rFonts w:cs="Tahoma"/>
            <w:noProof/>
            <w:webHidden/>
            <w:szCs w:val="20"/>
          </w:rPr>
          <w:tab/>
        </w:r>
        <w:r w:rsidR="00E22CE6" w:rsidRPr="00E22CE6">
          <w:rPr>
            <w:rFonts w:cs="Tahoma"/>
            <w:noProof/>
            <w:webHidden/>
            <w:szCs w:val="20"/>
          </w:rPr>
          <w:fldChar w:fldCharType="begin"/>
        </w:r>
        <w:r w:rsidR="00E22CE6" w:rsidRPr="00E22CE6">
          <w:rPr>
            <w:rFonts w:cs="Tahoma"/>
            <w:noProof/>
            <w:webHidden/>
            <w:szCs w:val="20"/>
          </w:rPr>
          <w:instrText xml:space="preserve"> PAGEREF _Toc161933138 \h </w:instrText>
        </w:r>
        <w:r w:rsidR="00E22CE6" w:rsidRPr="00E22CE6">
          <w:rPr>
            <w:rFonts w:cs="Tahoma"/>
            <w:noProof/>
            <w:webHidden/>
            <w:szCs w:val="20"/>
          </w:rPr>
        </w:r>
        <w:r w:rsidR="00E22CE6" w:rsidRPr="00E22CE6">
          <w:rPr>
            <w:rFonts w:cs="Tahoma"/>
            <w:noProof/>
            <w:webHidden/>
            <w:szCs w:val="20"/>
          </w:rPr>
          <w:fldChar w:fldCharType="separate"/>
        </w:r>
        <w:r w:rsidR="00E873AF">
          <w:rPr>
            <w:rFonts w:cs="Tahoma"/>
            <w:noProof/>
            <w:webHidden/>
            <w:szCs w:val="20"/>
          </w:rPr>
          <w:t>29</w:t>
        </w:r>
        <w:r w:rsidR="00E22CE6" w:rsidRPr="00E22CE6">
          <w:rPr>
            <w:rFonts w:cs="Tahoma"/>
            <w:noProof/>
            <w:webHidden/>
            <w:szCs w:val="20"/>
          </w:rPr>
          <w:fldChar w:fldCharType="end"/>
        </w:r>
      </w:hyperlink>
    </w:p>
    <w:p w14:paraId="149AE905" w14:textId="0422F21D" w:rsidR="00E22CE6" w:rsidRPr="00E22CE6" w:rsidRDefault="00000000" w:rsidP="00E22CE6">
      <w:pPr>
        <w:pStyle w:val="Sommario1"/>
        <w:rPr>
          <w:rFonts w:eastAsiaTheme="minorEastAsia"/>
          <w:b w:val="0"/>
          <w:kern w:val="2"/>
          <w14:ligatures w14:val="standardContextual"/>
        </w:rPr>
      </w:pPr>
      <w:hyperlink w:anchor="_Toc161933139" w:history="1">
        <w:r w:rsidR="00E22CE6" w:rsidRPr="00E22CE6">
          <w:rPr>
            <w:rStyle w:val="Collegamentoipertestuale"/>
            <w:rFonts w:cs="Tahoma"/>
          </w:rPr>
          <w:t>3. I redditi degli immobili esteri</w:t>
        </w:r>
        <w:r w:rsidR="00E22CE6" w:rsidRPr="00E22CE6">
          <w:rPr>
            <w:webHidden/>
          </w:rPr>
          <w:tab/>
        </w:r>
        <w:r w:rsidR="00E22CE6" w:rsidRPr="00E22CE6">
          <w:rPr>
            <w:webHidden/>
          </w:rPr>
          <w:fldChar w:fldCharType="begin"/>
        </w:r>
        <w:r w:rsidR="00E22CE6" w:rsidRPr="00E22CE6">
          <w:rPr>
            <w:webHidden/>
          </w:rPr>
          <w:instrText xml:space="preserve"> PAGEREF _Toc161933139 \h </w:instrText>
        </w:r>
        <w:r w:rsidR="00E22CE6" w:rsidRPr="00E22CE6">
          <w:rPr>
            <w:webHidden/>
          </w:rPr>
        </w:r>
        <w:r w:rsidR="00E22CE6" w:rsidRPr="00E22CE6">
          <w:rPr>
            <w:webHidden/>
          </w:rPr>
          <w:fldChar w:fldCharType="separate"/>
        </w:r>
        <w:r w:rsidR="00E873AF">
          <w:rPr>
            <w:webHidden/>
          </w:rPr>
          <w:t>30</w:t>
        </w:r>
        <w:r w:rsidR="00E22CE6" w:rsidRPr="00E22CE6">
          <w:rPr>
            <w:webHidden/>
          </w:rPr>
          <w:fldChar w:fldCharType="end"/>
        </w:r>
      </w:hyperlink>
    </w:p>
    <w:p w14:paraId="15EA2542" w14:textId="11ADA7F0" w:rsidR="00E22CE6" w:rsidRPr="00E22CE6" w:rsidRDefault="00000000" w:rsidP="00E22CE6">
      <w:pPr>
        <w:pStyle w:val="Sommario2"/>
        <w:tabs>
          <w:tab w:val="right" w:leader="dot" w:pos="9202"/>
        </w:tabs>
        <w:spacing w:before="60" w:after="60" w:line="326" w:lineRule="auto"/>
        <w:rPr>
          <w:rFonts w:eastAsiaTheme="minorEastAsia" w:cs="Tahoma"/>
          <w:noProof/>
          <w:kern w:val="2"/>
          <w:szCs w:val="20"/>
          <w14:ligatures w14:val="standardContextual"/>
        </w:rPr>
      </w:pPr>
      <w:hyperlink w:anchor="_Toc161933140" w:history="1">
        <w:r w:rsidR="00E22CE6" w:rsidRPr="00E22CE6">
          <w:rPr>
            <w:rStyle w:val="Collegamentoipertestuale"/>
            <w:rFonts w:cs="Tahoma"/>
            <w:noProof/>
            <w:szCs w:val="20"/>
          </w:rPr>
          <w:t>3.1 Premessa</w:t>
        </w:r>
        <w:r w:rsidR="00E22CE6" w:rsidRPr="00E22CE6">
          <w:rPr>
            <w:rFonts w:cs="Tahoma"/>
            <w:noProof/>
            <w:webHidden/>
            <w:szCs w:val="20"/>
          </w:rPr>
          <w:tab/>
        </w:r>
        <w:r w:rsidR="00E22CE6" w:rsidRPr="00E22CE6">
          <w:rPr>
            <w:rFonts w:cs="Tahoma"/>
            <w:noProof/>
            <w:webHidden/>
            <w:szCs w:val="20"/>
          </w:rPr>
          <w:fldChar w:fldCharType="begin"/>
        </w:r>
        <w:r w:rsidR="00E22CE6" w:rsidRPr="00E22CE6">
          <w:rPr>
            <w:rFonts w:cs="Tahoma"/>
            <w:noProof/>
            <w:webHidden/>
            <w:szCs w:val="20"/>
          </w:rPr>
          <w:instrText xml:space="preserve"> PAGEREF _Toc161933140 \h </w:instrText>
        </w:r>
        <w:r w:rsidR="00E22CE6" w:rsidRPr="00E22CE6">
          <w:rPr>
            <w:rFonts w:cs="Tahoma"/>
            <w:noProof/>
            <w:webHidden/>
            <w:szCs w:val="20"/>
          </w:rPr>
        </w:r>
        <w:r w:rsidR="00E22CE6" w:rsidRPr="00E22CE6">
          <w:rPr>
            <w:rFonts w:cs="Tahoma"/>
            <w:noProof/>
            <w:webHidden/>
            <w:szCs w:val="20"/>
          </w:rPr>
          <w:fldChar w:fldCharType="separate"/>
        </w:r>
        <w:r w:rsidR="00E873AF">
          <w:rPr>
            <w:rFonts w:cs="Tahoma"/>
            <w:noProof/>
            <w:webHidden/>
            <w:szCs w:val="20"/>
          </w:rPr>
          <w:t>30</w:t>
        </w:r>
        <w:r w:rsidR="00E22CE6" w:rsidRPr="00E22CE6">
          <w:rPr>
            <w:rFonts w:cs="Tahoma"/>
            <w:noProof/>
            <w:webHidden/>
            <w:szCs w:val="20"/>
          </w:rPr>
          <w:fldChar w:fldCharType="end"/>
        </w:r>
      </w:hyperlink>
    </w:p>
    <w:p w14:paraId="52A4108B" w14:textId="6556D98C" w:rsidR="00E22CE6" w:rsidRPr="00E22CE6" w:rsidRDefault="00000000" w:rsidP="00E22CE6">
      <w:pPr>
        <w:pStyle w:val="Sommario2"/>
        <w:tabs>
          <w:tab w:val="right" w:leader="dot" w:pos="9202"/>
        </w:tabs>
        <w:spacing w:before="60" w:after="60" w:line="326" w:lineRule="auto"/>
        <w:rPr>
          <w:rFonts w:eastAsiaTheme="minorEastAsia" w:cs="Tahoma"/>
          <w:noProof/>
          <w:kern w:val="2"/>
          <w:szCs w:val="20"/>
          <w14:ligatures w14:val="standardContextual"/>
        </w:rPr>
      </w:pPr>
      <w:hyperlink w:anchor="_Toc161933141" w:history="1">
        <w:r w:rsidR="00E22CE6" w:rsidRPr="00E22CE6">
          <w:rPr>
            <w:rStyle w:val="Collegamentoipertestuale"/>
            <w:rFonts w:cs="Tahoma"/>
            <w:noProof/>
            <w:szCs w:val="20"/>
          </w:rPr>
          <w:t>3.2 Reddito degli immobili situati all’estero</w:t>
        </w:r>
        <w:r w:rsidR="00E22CE6" w:rsidRPr="00E22CE6">
          <w:rPr>
            <w:rFonts w:cs="Tahoma"/>
            <w:noProof/>
            <w:webHidden/>
            <w:szCs w:val="20"/>
          </w:rPr>
          <w:tab/>
        </w:r>
        <w:r w:rsidR="00E22CE6" w:rsidRPr="00E22CE6">
          <w:rPr>
            <w:rFonts w:cs="Tahoma"/>
            <w:noProof/>
            <w:webHidden/>
            <w:szCs w:val="20"/>
          </w:rPr>
          <w:fldChar w:fldCharType="begin"/>
        </w:r>
        <w:r w:rsidR="00E22CE6" w:rsidRPr="00E22CE6">
          <w:rPr>
            <w:rFonts w:cs="Tahoma"/>
            <w:noProof/>
            <w:webHidden/>
            <w:szCs w:val="20"/>
          </w:rPr>
          <w:instrText xml:space="preserve"> PAGEREF _Toc161933141 \h </w:instrText>
        </w:r>
        <w:r w:rsidR="00E22CE6" w:rsidRPr="00E22CE6">
          <w:rPr>
            <w:rFonts w:cs="Tahoma"/>
            <w:noProof/>
            <w:webHidden/>
            <w:szCs w:val="20"/>
          </w:rPr>
        </w:r>
        <w:r w:rsidR="00E22CE6" w:rsidRPr="00E22CE6">
          <w:rPr>
            <w:rFonts w:cs="Tahoma"/>
            <w:noProof/>
            <w:webHidden/>
            <w:szCs w:val="20"/>
          </w:rPr>
          <w:fldChar w:fldCharType="separate"/>
        </w:r>
        <w:r w:rsidR="00E873AF">
          <w:rPr>
            <w:rFonts w:cs="Tahoma"/>
            <w:noProof/>
            <w:webHidden/>
            <w:szCs w:val="20"/>
          </w:rPr>
          <w:t>30</w:t>
        </w:r>
        <w:r w:rsidR="00E22CE6" w:rsidRPr="00E22CE6">
          <w:rPr>
            <w:rFonts w:cs="Tahoma"/>
            <w:noProof/>
            <w:webHidden/>
            <w:szCs w:val="20"/>
          </w:rPr>
          <w:fldChar w:fldCharType="end"/>
        </w:r>
      </w:hyperlink>
    </w:p>
    <w:p w14:paraId="7B1B8DD8" w14:textId="140F7587" w:rsidR="00E22CE6" w:rsidRPr="00E22CE6" w:rsidRDefault="00000000" w:rsidP="00E22CE6">
      <w:pPr>
        <w:pStyle w:val="Sommario3"/>
        <w:spacing w:before="60" w:after="60" w:line="326" w:lineRule="auto"/>
        <w:rPr>
          <w:rFonts w:eastAsiaTheme="minorEastAsia"/>
          <w:i w:val="0"/>
          <w:kern w:val="2"/>
          <w14:ligatures w14:val="standardContextual"/>
        </w:rPr>
      </w:pPr>
      <w:hyperlink w:anchor="_Toc161933142" w:history="1">
        <w:r w:rsidR="00E22CE6" w:rsidRPr="00E22CE6">
          <w:rPr>
            <w:rStyle w:val="Collegamentoipertestuale"/>
            <w:rFonts w:cs="Tahoma"/>
          </w:rPr>
          <w:t>3.2.1 Immobili non produttivi di reddito</w:t>
        </w:r>
        <w:r w:rsidR="00E22CE6" w:rsidRPr="00E22CE6">
          <w:rPr>
            <w:webHidden/>
          </w:rPr>
          <w:tab/>
        </w:r>
        <w:r w:rsidR="00E22CE6" w:rsidRPr="00E22CE6">
          <w:rPr>
            <w:webHidden/>
          </w:rPr>
          <w:fldChar w:fldCharType="begin"/>
        </w:r>
        <w:r w:rsidR="00E22CE6" w:rsidRPr="00E22CE6">
          <w:rPr>
            <w:webHidden/>
          </w:rPr>
          <w:instrText xml:space="preserve"> PAGEREF _Toc161933142 \h </w:instrText>
        </w:r>
        <w:r w:rsidR="00E22CE6" w:rsidRPr="00E22CE6">
          <w:rPr>
            <w:webHidden/>
          </w:rPr>
        </w:r>
        <w:r w:rsidR="00E22CE6" w:rsidRPr="00E22CE6">
          <w:rPr>
            <w:webHidden/>
          </w:rPr>
          <w:fldChar w:fldCharType="separate"/>
        </w:r>
        <w:r w:rsidR="00E873AF">
          <w:rPr>
            <w:webHidden/>
          </w:rPr>
          <w:t>31</w:t>
        </w:r>
        <w:r w:rsidR="00E22CE6" w:rsidRPr="00E22CE6">
          <w:rPr>
            <w:webHidden/>
          </w:rPr>
          <w:fldChar w:fldCharType="end"/>
        </w:r>
      </w:hyperlink>
    </w:p>
    <w:p w14:paraId="6B1D8024" w14:textId="4F4243BA" w:rsidR="00E22CE6" w:rsidRPr="00E22CE6" w:rsidRDefault="00000000" w:rsidP="00E22CE6">
      <w:pPr>
        <w:pStyle w:val="Sommario3"/>
        <w:spacing w:before="60" w:after="60" w:line="326" w:lineRule="auto"/>
        <w:rPr>
          <w:rFonts w:eastAsiaTheme="minorEastAsia"/>
          <w:i w:val="0"/>
          <w:kern w:val="2"/>
          <w14:ligatures w14:val="standardContextual"/>
        </w:rPr>
      </w:pPr>
      <w:hyperlink w:anchor="_Toc161933143" w:history="1">
        <w:r w:rsidR="00E22CE6" w:rsidRPr="00E22CE6">
          <w:rPr>
            <w:rStyle w:val="Collegamentoipertestuale"/>
            <w:rFonts w:cs="Tahoma"/>
          </w:rPr>
          <w:t>3.2.2 Immobile non locato e lo Stato estero prevede una tassazione</w:t>
        </w:r>
        <w:r w:rsidR="00E22CE6" w:rsidRPr="00E22CE6">
          <w:rPr>
            <w:webHidden/>
          </w:rPr>
          <w:tab/>
        </w:r>
        <w:r w:rsidR="00E22CE6" w:rsidRPr="00E22CE6">
          <w:rPr>
            <w:webHidden/>
          </w:rPr>
          <w:fldChar w:fldCharType="begin"/>
        </w:r>
        <w:r w:rsidR="00E22CE6" w:rsidRPr="00E22CE6">
          <w:rPr>
            <w:webHidden/>
          </w:rPr>
          <w:instrText xml:space="preserve"> PAGEREF _Toc161933143 \h </w:instrText>
        </w:r>
        <w:r w:rsidR="00E22CE6" w:rsidRPr="00E22CE6">
          <w:rPr>
            <w:webHidden/>
          </w:rPr>
        </w:r>
        <w:r w:rsidR="00E22CE6" w:rsidRPr="00E22CE6">
          <w:rPr>
            <w:webHidden/>
          </w:rPr>
          <w:fldChar w:fldCharType="separate"/>
        </w:r>
        <w:r w:rsidR="00E873AF">
          <w:rPr>
            <w:webHidden/>
          </w:rPr>
          <w:t>31</w:t>
        </w:r>
        <w:r w:rsidR="00E22CE6" w:rsidRPr="00E22CE6">
          <w:rPr>
            <w:webHidden/>
          </w:rPr>
          <w:fldChar w:fldCharType="end"/>
        </w:r>
      </w:hyperlink>
    </w:p>
    <w:p w14:paraId="65C9DBD6" w14:textId="29A74920" w:rsidR="00E22CE6" w:rsidRPr="00E22CE6" w:rsidRDefault="00000000" w:rsidP="00E22CE6">
      <w:pPr>
        <w:pStyle w:val="Sommario3"/>
        <w:spacing w:before="60" w:after="60" w:line="326" w:lineRule="auto"/>
        <w:rPr>
          <w:rFonts w:eastAsiaTheme="minorEastAsia"/>
          <w:i w:val="0"/>
          <w:kern w:val="2"/>
          <w14:ligatures w14:val="standardContextual"/>
        </w:rPr>
      </w:pPr>
      <w:hyperlink w:anchor="_Toc161933144" w:history="1">
        <w:r w:rsidR="00E22CE6" w:rsidRPr="00E22CE6">
          <w:rPr>
            <w:rStyle w:val="Collegamentoipertestuale"/>
            <w:rFonts w:cs="Tahoma"/>
          </w:rPr>
          <w:t>3.2.3 Immobile locato e lo Stato estero non prevede una tassazione</w:t>
        </w:r>
        <w:r w:rsidR="00E22CE6" w:rsidRPr="00E22CE6">
          <w:rPr>
            <w:webHidden/>
          </w:rPr>
          <w:tab/>
        </w:r>
        <w:r w:rsidR="00E22CE6" w:rsidRPr="00E22CE6">
          <w:rPr>
            <w:webHidden/>
          </w:rPr>
          <w:fldChar w:fldCharType="begin"/>
        </w:r>
        <w:r w:rsidR="00E22CE6" w:rsidRPr="00E22CE6">
          <w:rPr>
            <w:webHidden/>
          </w:rPr>
          <w:instrText xml:space="preserve"> PAGEREF _Toc161933144 \h </w:instrText>
        </w:r>
        <w:r w:rsidR="00E22CE6" w:rsidRPr="00E22CE6">
          <w:rPr>
            <w:webHidden/>
          </w:rPr>
        </w:r>
        <w:r w:rsidR="00E22CE6" w:rsidRPr="00E22CE6">
          <w:rPr>
            <w:webHidden/>
          </w:rPr>
          <w:fldChar w:fldCharType="separate"/>
        </w:r>
        <w:r w:rsidR="00E873AF">
          <w:rPr>
            <w:webHidden/>
          </w:rPr>
          <w:t>31</w:t>
        </w:r>
        <w:r w:rsidR="00E22CE6" w:rsidRPr="00E22CE6">
          <w:rPr>
            <w:webHidden/>
          </w:rPr>
          <w:fldChar w:fldCharType="end"/>
        </w:r>
      </w:hyperlink>
    </w:p>
    <w:p w14:paraId="0C039D34" w14:textId="3A1DB618" w:rsidR="00E22CE6" w:rsidRPr="00E22CE6" w:rsidRDefault="00000000" w:rsidP="00E22CE6">
      <w:pPr>
        <w:pStyle w:val="Sommario3"/>
        <w:spacing w:before="60" w:after="60" w:line="326" w:lineRule="auto"/>
        <w:rPr>
          <w:rFonts w:eastAsiaTheme="minorEastAsia"/>
          <w:i w:val="0"/>
          <w:kern w:val="2"/>
          <w14:ligatures w14:val="standardContextual"/>
        </w:rPr>
      </w:pPr>
      <w:hyperlink w:anchor="_Toc161933145" w:history="1">
        <w:r w:rsidR="00E22CE6" w:rsidRPr="00E22CE6">
          <w:rPr>
            <w:rStyle w:val="Collegamentoipertestuale"/>
            <w:rFonts w:cs="Tahoma"/>
          </w:rPr>
          <w:t>3.2.4 Immobile locato e lo Stato estero prevede una tassazione</w:t>
        </w:r>
        <w:r w:rsidR="00E22CE6" w:rsidRPr="00E22CE6">
          <w:rPr>
            <w:webHidden/>
          </w:rPr>
          <w:tab/>
        </w:r>
        <w:r w:rsidR="00E22CE6" w:rsidRPr="00E22CE6">
          <w:rPr>
            <w:webHidden/>
          </w:rPr>
          <w:fldChar w:fldCharType="begin"/>
        </w:r>
        <w:r w:rsidR="00E22CE6" w:rsidRPr="00E22CE6">
          <w:rPr>
            <w:webHidden/>
          </w:rPr>
          <w:instrText xml:space="preserve"> PAGEREF _Toc161933145 \h </w:instrText>
        </w:r>
        <w:r w:rsidR="00E22CE6" w:rsidRPr="00E22CE6">
          <w:rPr>
            <w:webHidden/>
          </w:rPr>
        </w:r>
        <w:r w:rsidR="00E22CE6" w:rsidRPr="00E22CE6">
          <w:rPr>
            <w:webHidden/>
          </w:rPr>
          <w:fldChar w:fldCharType="separate"/>
        </w:r>
        <w:r w:rsidR="00E873AF">
          <w:rPr>
            <w:webHidden/>
          </w:rPr>
          <w:t>32</w:t>
        </w:r>
        <w:r w:rsidR="00E22CE6" w:rsidRPr="00E22CE6">
          <w:rPr>
            <w:webHidden/>
          </w:rPr>
          <w:fldChar w:fldCharType="end"/>
        </w:r>
      </w:hyperlink>
    </w:p>
    <w:p w14:paraId="01B27C0E" w14:textId="3B69133E" w:rsidR="00E22CE6" w:rsidRPr="00E22CE6" w:rsidRDefault="00000000" w:rsidP="00E22CE6">
      <w:pPr>
        <w:pStyle w:val="Sommario3"/>
        <w:spacing w:before="60" w:after="60" w:line="326" w:lineRule="auto"/>
        <w:rPr>
          <w:rFonts w:eastAsiaTheme="minorEastAsia"/>
          <w:i w:val="0"/>
          <w:kern w:val="2"/>
          <w14:ligatures w14:val="standardContextual"/>
        </w:rPr>
      </w:pPr>
      <w:hyperlink w:anchor="_Toc161933146" w:history="1">
        <w:r w:rsidR="00E22CE6" w:rsidRPr="00E22CE6">
          <w:rPr>
            <w:rStyle w:val="Collegamentoipertestuale"/>
            <w:rFonts w:cs="Tahoma"/>
          </w:rPr>
          <w:t>3.2.5 Disallineamento dei periodi d’imposta</w:t>
        </w:r>
        <w:r w:rsidR="00E22CE6" w:rsidRPr="00E22CE6">
          <w:rPr>
            <w:webHidden/>
          </w:rPr>
          <w:tab/>
        </w:r>
        <w:r w:rsidR="00E22CE6" w:rsidRPr="00E22CE6">
          <w:rPr>
            <w:webHidden/>
          </w:rPr>
          <w:fldChar w:fldCharType="begin"/>
        </w:r>
        <w:r w:rsidR="00E22CE6" w:rsidRPr="00E22CE6">
          <w:rPr>
            <w:webHidden/>
          </w:rPr>
          <w:instrText xml:space="preserve"> PAGEREF _Toc161933146 \h </w:instrText>
        </w:r>
        <w:r w:rsidR="00E22CE6" w:rsidRPr="00E22CE6">
          <w:rPr>
            <w:webHidden/>
          </w:rPr>
        </w:r>
        <w:r w:rsidR="00E22CE6" w:rsidRPr="00E22CE6">
          <w:rPr>
            <w:webHidden/>
          </w:rPr>
          <w:fldChar w:fldCharType="separate"/>
        </w:r>
        <w:r w:rsidR="00E873AF">
          <w:rPr>
            <w:webHidden/>
          </w:rPr>
          <w:t>32</w:t>
        </w:r>
        <w:r w:rsidR="00E22CE6" w:rsidRPr="00E22CE6">
          <w:rPr>
            <w:webHidden/>
          </w:rPr>
          <w:fldChar w:fldCharType="end"/>
        </w:r>
      </w:hyperlink>
    </w:p>
    <w:p w14:paraId="374DE659" w14:textId="20FF00B8" w:rsidR="00E22CE6" w:rsidRPr="00E22CE6" w:rsidRDefault="00000000" w:rsidP="00E22CE6">
      <w:pPr>
        <w:pStyle w:val="Sommario3"/>
        <w:spacing w:before="60" w:after="60" w:line="326" w:lineRule="auto"/>
        <w:rPr>
          <w:rFonts w:eastAsiaTheme="minorEastAsia"/>
          <w:i w:val="0"/>
          <w:kern w:val="2"/>
          <w14:ligatures w14:val="standardContextual"/>
        </w:rPr>
      </w:pPr>
      <w:hyperlink w:anchor="_Toc161933147" w:history="1">
        <w:r w:rsidR="00E22CE6" w:rsidRPr="00E22CE6">
          <w:rPr>
            <w:rStyle w:val="Collegamentoipertestuale"/>
            <w:rFonts w:cs="Tahoma"/>
          </w:rPr>
          <w:t>3.2.6 Cedolare secca - esclusione</w:t>
        </w:r>
        <w:r w:rsidR="00E22CE6" w:rsidRPr="00E22CE6">
          <w:rPr>
            <w:webHidden/>
          </w:rPr>
          <w:tab/>
        </w:r>
        <w:r w:rsidR="00E22CE6" w:rsidRPr="00E22CE6">
          <w:rPr>
            <w:webHidden/>
          </w:rPr>
          <w:fldChar w:fldCharType="begin"/>
        </w:r>
        <w:r w:rsidR="00E22CE6" w:rsidRPr="00E22CE6">
          <w:rPr>
            <w:webHidden/>
          </w:rPr>
          <w:instrText xml:space="preserve"> PAGEREF _Toc161933147 \h </w:instrText>
        </w:r>
        <w:r w:rsidR="00E22CE6" w:rsidRPr="00E22CE6">
          <w:rPr>
            <w:webHidden/>
          </w:rPr>
        </w:r>
        <w:r w:rsidR="00E22CE6" w:rsidRPr="00E22CE6">
          <w:rPr>
            <w:webHidden/>
          </w:rPr>
          <w:fldChar w:fldCharType="separate"/>
        </w:r>
        <w:r w:rsidR="00E873AF">
          <w:rPr>
            <w:webHidden/>
          </w:rPr>
          <w:t>32</w:t>
        </w:r>
        <w:r w:rsidR="00E22CE6" w:rsidRPr="00E22CE6">
          <w:rPr>
            <w:webHidden/>
          </w:rPr>
          <w:fldChar w:fldCharType="end"/>
        </w:r>
      </w:hyperlink>
    </w:p>
    <w:p w14:paraId="428AC631" w14:textId="1F807C03" w:rsidR="00E22CE6" w:rsidRPr="00E22CE6" w:rsidRDefault="00000000" w:rsidP="00E22CE6">
      <w:pPr>
        <w:pStyle w:val="Sommario2"/>
        <w:tabs>
          <w:tab w:val="right" w:leader="dot" w:pos="9202"/>
        </w:tabs>
        <w:spacing w:before="60" w:after="60" w:line="326" w:lineRule="auto"/>
        <w:rPr>
          <w:rFonts w:eastAsiaTheme="minorEastAsia" w:cs="Tahoma"/>
          <w:noProof/>
          <w:kern w:val="2"/>
          <w:szCs w:val="20"/>
          <w14:ligatures w14:val="standardContextual"/>
        </w:rPr>
      </w:pPr>
      <w:hyperlink w:anchor="_Toc161933148" w:history="1">
        <w:r w:rsidR="00E22CE6" w:rsidRPr="00E22CE6">
          <w:rPr>
            <w:rStyle w:val="Collegamentoipertestuale"/>
            <w:rFonts w:cs="Tahoma"/>
            <w:noProof/>
            <w:szCs w:val="20"/>
          </w:rPr>
          <w:t>3.3 Convenzioni internazionali contro le doppie imposizioni</w:t>
        </w:r>
        <w:r w:rsidR="00E22CE6" w:rsidRPr="00E22CE6">
          <w:rPr>
            <w:rFonts w:cs="Tahoma"/>
            <w:noProof/>
            <w:webHidden/>
            <w:szCs w:val="20"/>
          </w:rPr>
          <w:tab/>
        </w:r>
        <w:r w:rsidR="00E22CE6" w:rsidRPr="00E22CE6">
          <w:rPr>
            <w:rFonts w:cs="Tahoma"/>
            <w:noProof/>
            <w:webHidden/>
            <w:szCs w:val="20"/>
          </w:rPr>
          <w:fldChar w:fldCharType="begin"/>
        </w:r>
        <w:r w:rsidR="00E22CE6" w:rsidRPr="00E22CE6">
          <w:rPr>
            <w:rFonts w:cs="Tahoma"/>
            <w:noProof/>
            <w:webHidden/>
            <w:szCs w:val="20"/>
          </w:rPr>
          <w:instrText xml:space="preserve"> PAGEREF _Toc161933148 \h </w:instrText>
        </w:r>
        <w:r w:rsidR="00E22CE6" w:rsidRPr="00E22CE6">
          <w:rPr>
            <w:rFonts w:cs="Tahoma"/>
            <w:noProof/>
            <w:webHidden/>
            <w:szCs w:val="20"/>
          </w:rPr>
        </w:r>
        <w:r w:rsidR="00E22CE6" w:rsidRPr="00E22CE6">
          <w:rPr>
            <w:rFonts w:cs="Tahoma"/>
            <w:noProof/>
            <w:webHidden/>
            <w:szCs w:val="20"/>
          </w:rPr>
          <w:fldChar w:fldCharType="separate"/>
        </w:r>
        <w:r w:rsidR="00E873AF">
          <w:rPr>
            <w:rFonts w:cs="Tahoma"/>
            <w:noProof/>
            <w:webHidden/>
            <w:szCs w:val="20"/>
          </w:rPr>
          <w:t>32</w:t>
        </w:r>
        <w:r w:rsidR="00E22CE6" w:rsidRPr="00E22CE6">
          <w:rPr>
            <w:rFonts w:cs="Tahoma"/>
            <w:noProof/>
            <w:webHidden/>
            <w:szCs w:val="20"/>
          </w:rPr>
          <w:fldChar w:fldCharType="end"/>
        </w:r>
      </w:hyperlink>
    </w:p>
    <w:p w14:paraId="60E218D2" w14:textId="02B20009" w:rsidR="00E22CE6" w:rsidRPr="00E22CE6" w:rsidRDefault="00000000" w:rsidP="00E22CE6">
      <w:pPr>
        <w:pStyle w:val="Sommario2"/>
        <w:tabs>
          <w:tab w:val="right" w:leader="dot" w:pos="9202"/>
        </w:tabs>
        <w:spacing w:before="60" w:after="60" w:line="326" w:lineRule="auto"/>
        <w:rPr>
          <w:rFonts w:eastAsiaTheme="minorEastAsia" w:cs="Tahoma"/>
          <w:noProof/>
          <w:kern w:val="2"/>
          <w:szCs w:val="20"/>
          <w14:ligatures w14:val="standardContextual"/>
        </w:rPr>
      </w:pPr>
      <w:hyperlink w:anchor="_Toc161933149" w:history="1">
        <w:r w:rsidR="00E22CE6" w:rsidRPr="00E22CE6">
          <w:rPr>
            <w:rStyle w:val="Collegamentoipertestuale"/>
            <w:rFonts w:cs="Tahoma"/>
            <w:noProof/>
            <w:szCs w:val="20"/>
          </w:rPr>
          <w:t>3.4 La cessione degli immobili esteri per i soggetti non imprenditori</w:t>
        </w:r>
        <w:r w:rsidR="00E22CE6" w:rsidRPr="00E22CE6">
          <w:rPr>
            <w:rFonts w:cs="Tahoma"/>
            <w:noProof/>
            <w:webHidden/>
            <w:szCs w:val="20"/>
          </w:rPr>
          <w:tab/>
        </w:r>
        <w:r w:rsidR="00E22CE6" w:rsidRPr="00E22CE6">
          <w:rPr>
            <w:rFonts w:cs="Tahoma"/>
            <w:noProof/>
            <w:webHidden/>
            <w:szCs w:val="20"/>
          </w:rPr>
          <w:fldChar w:fldCharType="begin"/>
        </w:r>
        <w:r w:rsidR="00E22CE6" w:rsidRPr="00E22CE6">
          <w:rPr>
            <w:rFonts w:cs="Tahoma"/>
            <w:noProof/>
            <w:webHidden/>
            <w:szCs w:val="20"/>
          </w:rPr>
          <w:instrText xml:space="preserve"> PAGEREF _Toc161933149 \h </w:instrText>
        </w:r>
        <w:r w:rsidR="00E22CE6" w:rsidRPr="00E22CE6">
          <w:rPr>
            <w:rFonts w:cs="Tahoma"/>
            <w:noProof/>
            <w:webHidden/>
            <w:szCs w:val="20"/>
          </w:rPr>
        </w:r>
        <w:r w:rsidR="00E22CE6" w:rsidRPr="00E22CE6">
          <w:rPr>
            <w:rFonts w:cs="Tahoma"/>
            <w:noProof/>
            <w:webHidden/>
            <w:szCs w:val="20"/>
          </w:rPr>
          <w:fldChar w:fldCharType="separate"/>
        </w:r>
        <w:r w:rsidR="00E873AF">
          <w:rPr>
            <w:rFonts w:cs="Tahoma"/>
            <w:noProof/>
            <w:webHidden/>
            <w:szCs w:val="20"/>
          </w:rPr>
          <w:t>33</w:t>
        </w:r>
        <w:r w:rsidR="00E22CE6" w:rsidRPr="00E22CE6">
          <w:rPr>
            <w:rFonts w:cs="Tahoma"/>
            <w:noProof/>
            <w:webHidden/>
            <w:szCs w:val="20"/>
          </w:rPr>
          <w:fldChar w:fldCharType="end"/>
        </w:r>
      </w:hyperlink>
    </w:p>
    <w:p w14:paraId="5CDF1404" w14:textId="0C10159A" w:rsidR="00E22CE6" w:rsidRPr="00E22CE6" w:rsidRDefault="00000000" w:rsidP="00E22CE6">
      <w:pPr>
        <w:pStyle w:val="Sommario2"/>
        <w:tabs>
          <w:tab w:val="right" w:leader="dot" w:pos="9202"/>
        </w:tabs>
        <w:spacing w:before="60" w:after="60" w:line="326" w:lineRule="auto"/>
        <w:rPr>
          <w:rFonts w:eastAsiaTheme="minorEastAsia" w:cs="Tahoma"/>
          <w:noProof/>
          <w:kern w:val="2"/>
          <w:szCs w:val="20"/>
          <w14:ligatures w14:val="standardContextual"/>
        </w:rPr>
      </w:pPr>
      <w:hyperlink w:anchor="_Toc161933150" w:history="1">
        <w:r w:rsidR="00E22CE6" w:rsidRPr="00E22CE6">
          <w:rPr>
            <w:rStyle w:val="Collegamentoipertestuale"/>
            <w:rFonts w:cs="Tahoma"/>
            <w:noProof/>
            <w:szCs w:val="20"/>
          </w:rPr>
          <w:t>3.5 Convenzioni internazionali contro le doppie imposizioni</w:t>
        </w:r>
        <w:r w:rsidR="00E22CE6" w:rsidRPr="00E22CE6">
          <w:rPr>
            <w:rFonts w:cs="Tahoma"/>
            <w:noProof/>
            <w:webHidden/>
            <w:szCs w:val="20"/>
          </w:rPr>
          <w:tab/>
        </w:r>
        <w:r w:rsidR="00E22CE6" w:rsidRPr="00E22CE6">
          <w:rPr>
            <w:rFonts w:cs="Tahoma"/>
            <w:noProof/>
            <w:webHidden/>
            <w:szCs w:val="20"/>
          </w:rPr>
          <w:fldChar w:fldCharType="begin"/>
        </w:r>
        <w:r w:rsidR="00E22CE6" w:rsidRPr="00E22CE6">
          <w:rPr>
            <w:rFonts w:cs="Tahoma"/>
            <w:noProof/>
            <w:webHidden/>
            <w:szCs w:val="20"/>
          </w:rPr>
          <w:instrText xml:space="preserve"> PAGEREF _Toc161933150 \h </w:instrText>
        </w:r>
        <w:r w:rsidR="00E22CE6" w:rsidRPr="00E22CE6">
          <w:rPr>
            <w:rFonts w:cs="Tahoma"/>
            <w:noProof/>
            <w:webHidden/>
            <w:szCs w:val="20"/>
          </w:rPr>
        </w:r>
        <w:r w:rsidR="00E22CE6" w:rsidRPr="00E22CE6">
          <w:rPr>
            <w:rFonts w:cs="Tahoma"/>
            <w:noProof/>
            <w:webHidden/>
            <w:szCs w:val="20"/>
          </w:rPr>
          <w:fldChar w:fldCharType="separate"/>
        </w:r>
        <w:r w:rsidR="00E873AF">
          <w:rPr>
            <w:rFonts w:cs="Tahoma"/>
            <w:noProof/>
            <w:webHidden/>
            <w:szCs w:val="20"/>
          </w:rPr>
          <w:t>33</w:t>
        </w:r>
        <w:r w:rsidR="00E22CE6" w:rsidRPr="00E22CE6">
          <w:rPr>
            <w:rFonts w:cs="Tahoma"/>
            <w:noProof/>
            <w:webHidden/>
            <w:szCs w:val="20"/>
          </w:rPr>
          <w:fldChar w:fldCharType="end"/>
        </w:r>
      </w:hyperlink>
    </w:p>
    <w:p w14:paraId="750FD496" w14:textId="47ED5042" w:rsidR="00E22CE6" w:rsidRPr="00E22CE6" w:rsidRDefault="00000000" w:rsidP="00E22CE6">
      <w:pPr>
        <w:pStyle w:val="Sommario2"/>
        <w:tabs>
          <w:tab w:val="right" w:leader="dot" w:pos="9202"/>
        </w:tabs>
        <w:spacing w:before="60" w:after="60" w:line="326" w:lineRule="auto"/>
        <w:rPr>
          <w:rFonts w:eastAsiaTheme="minorEastAsia" w:cs="Tahoma"/>
          <w:noProof/>
          <w:kern w:val="2"/>
          <w:szCs w:val="20"/>
          <w14:ligatures w14:val="standardContextual"/>
        </w:rPr>
      </w:pPr>
      <w:hyperlink w:anchor="_Toc161933151" w:history="1">
        <w:r w:rsidR="00E22CE6" w:rsidRPr="00E22CE6">
          <w:rPr>
            <w:rStyle w:val="Collegamentoipertestuale"/>
            <w:rFonts w:cs="Tahoma"/>
            <w:noProof/>
            <w:szCs w:val="20"/>
          </w:rPr>
          <w:t>3.6 Credito per le imposte pagate all’estero</w:t>
        </w:r>
        <w:r w:rsidR="00E22CE6" w:rsidRPr="00E22CE6">
          <w:rPr>
            <w:rFonts w:cs="Tahoma"/>
            <w:noProof/>
            <w:webHidden/>
            <w:szCs w:val="20"/>
          </w:rPr>
          <w:tab/>
        </w:r>
        <w:r w:rsidR="00E22CE6" w:rsidRPr="00E22CE6">
          <w:rPr>
            <w:rFonts w:cs="Tahoma"/>
            <w:noProof/>
            <w:webHidden/>
            <w:szCs w:val="20"/>
          </w:rPr>
          <w:fldChar w:fldCharType="begin"/>
        </w:r>
        <w:r w:rsidR="00E22CE6" w:rsidRPr="00E22CE6">
          <w:rPr>
            <w:rFonts w:cs="Tahoma"/>
            <w:noProof/>
            <w:webHidden/>
            <w:szCs w:val="20"/>
          </w:rPr>
          <w:instrText xml:space="preserve"> PAGEREF _Toc161933151 \h </w:instrText>
        </w:r>
        <w:r w:rsidR="00E22CE6" w:rsidRPr="00E22CE6">
          <w:rPr>
            <w:rFonts w:cs="Tahoma"/>
            <w:noProof/>
            <w:webHidden/>
            <w:szCs w:val="20"/>
          </w:rPr>
        </w:r>
        <w:r w:rsidR="00E22CE6" w:rsidRPr="00E22CE6">
          <w:rPr>
            <w:rFonts w:cs="Tahoma"/>
            <w:noProof/>
            <w:webHidden/>
            <w:szCs w:val="20"/>
          </w:rPr>
          <w:fldChar w:fldCharType="separate"/>
        </w:r>
        <w:r w:rsidR="00E873AF">
          <w:rPr>
            <w:rFonts w:cs="Tahoma"/>
            <w:noProof/>
            <w:webHidden/>
            <w:szCs w:val="20"/>
          </w:rPr>
          <w:t>34</w:t>
        </w:r>
        <w:r w:rsidR="00E22CE6" w:rsidRPr="00E22CE6">
          <w:rPr>
            <w:rFonts w:cs="Tahoma"/>
            <w:noProof/>
            <w:webHidden/>
            <w:szCs w:val="20"/>
          </w:rPr>
          <w:fldChar w:fldCharType="end"/>
        </w:r>
      </w:hyperlink>
    </w:p>
    <w:p w14:paraId="7B5B7759" w14:textId="2FC3DDE4" w:rsidR="00E22CE6" w:rsidRPr="00E22CE6" w:rsidRDefault="00000000" w:rsidP="00E22CE6">
      <w:pPr>
        <w:pStyle w:val="Sommario2"/>
        <w:tabs>
          <w:tab w:val="right" w:leader="dot" w:pos="9202"/>
        </w:tabs>
        <w:spacing w:before="60" w:after="60" w:line="326" w:lineRule="auto"/>
        <w:rPr>
          <w:rFonts w:eastAsiaTheme="minorEastAsia" w:cs="Tahoma"/>
          <w:noProof/>
          <w:kern w:val="2"/>
          <w:szCs w:val="20"/>
          <w14:ligatures w14:val="standardContextual"/>
        </w:rPr>
      </w:pPr>
      <w:hyperlink w:anchor="_Toc161933152" w:history="1">
        <w:r w:rsidR="00E22CE6" w:rsidRPr="00E22CE6">
          <w:rPr>
            <w:rStyle w:val="Collegamentoipertestuale"/>
            <w:rFonts w:cs="Tahoma"/>
            <w:noProof/>
            <w:szCs w:val="20"/>
          </w:rPr>
          <w:t>3.7 Indicazione nel modello REDDITI</w:t>
        </w:r>
        <w:r w:rsidR="00E22CE6" w:rsidRPr="00E22CE6">
          <w:rPr>
            <w:rFonts w:cs="Tahoma"/>
            <w:noProof/>
            <w:webHidden/>
            <w:szCs w:val="20"/>
          </w:rPr>
          <w:tab/>
        </w:r>
        <w:r w:rsidR="00E22CE6" w:rsidRPr="00E22CE6">
          <w:rPr>
            <w:rFonts w:cs="Tahoma"/>
            <w:noProof/>
            <w:webHidden/>
            <w:szCs w:val="20"/>
          </w:rPr>
          <w:fldChar w:fldCharType="begin"/>
        </w:r>
        <w:r w:rsidR="00E22CE6" w:rsidRPr="00E22CE6">
          <w:rPr>
            <w:rFonts w:cs="Tahoma"/>
            <w:noProof/>
            <w:webHidden/>
            <w:szCs w:val="20"/>
          </w:rPr>
          <w:instrText xml:space="preserve"> PAGEREF _Toc161933152 \h </w:instrText>
        </w:r>
        <w:r w:rsidR="00E22CE6" w:rsidRPr="00E22CE6">
          <w:rPr>
            <w:rFonts w:cs="Tahoma"/>
            <w:noProof/>
            <w:webHidden/>
            <w:szCs w:val="20"/>
          </w:rPr>
        </w:r>
        <w:r w:rsidR="00E22CE6" w:rsidRPr="00E22CE6">
          <w:rPr>
            <w:rFonts w:cs="Tahoma"/>
            <w:noProof/>
            <w:webHidden/>
            <w:szCs w:val="20"/>
          </w:rPr>
          <w:fldChar w:fldCharType="separate"/>
        </w:r>
        <w:r w:rsidR="00E873AF">
          <w:rPr>
            <w:rFonts w:cs="Tahoma"/>
            <w:noProof/>
            <w:webHidden/>
            <w:szCs w:val="20"/>
          </w:rPr>
          <w:t>34</w:t>
        </w:r>
        <w:r w:rsidR="00E22CE6" w:rsidRPr="00E22CE6">
          <w:rPr>
            <w:rFonts w:cs="Tahoma"/>
            <w:noProof/>
            <w:webHidden/>
            <w:szCs w:val="20"/>
          </w:rPr>
          <w:fldChar w:fldCharType="end"/>
        </w:r>
      </w:hyperlink>
    </w:p>
    <w:p w14:paraId="7EFE9115" w14:textId="742066A7" w:rsidR="00E22CE6" w:rsidRPr="00E22CE6" w:rsidRDefault="00000000" w:rsidP="00E22CE6">
      <w:pPr>
        <w:pStyle w:val="Sommario3"/>
        <w:spacing w:before="60" w:after="60" w:line="326" w:lineRule="auto"/>
        <w:rPr>
          <w:rFonts w:eastAsiaTheme="minorEastAsia"/>
          <w:i w:val="0"/>
          <w:kern w:val="2"/>
          <w14:ligatures w14:val="standardContextual"/>
        </w:rPr>
      </w:pPr>
      <w:hyperlink w:anchor="_Toc161933153" w:history="1">
        <w:r w:rsidR="00E22CE6" w:rsidRPr="00E22CE6">
          <w:rPr>
            <w:rStyle w:val="Collegamentoipertestuale"/>
            <w:rFonts w:cs="Tahoma"/>
          </w:rPr>
          <w:t>3.7.1 Immobile concesso in locazione in Spagna</w:t>
        </w:r>
        <w:r w:rsidR="00E22CE6" w:rsidRPr="00E22CE6">
          <w:rPr>
            <w:webHidden/>
          </w:rPr>
          <w:tab/>
        </w:r>
        <w:r w:rsidR="00E22CE6" w:rsidRPr="00E22CE6">
          <w:rPr>
            <w:webHidden/>
          </w:rPr>
          <w:fldChar w:fldCharType="begin"/>
        </w:r>
        <w:r w:rsidR="00E22CE6" w:rsidRPr="00E22CE6">
          <w:rPr>
            <w:webHidden/>
          </w:rPr>
          <w:instrText xml:space="preserve"> PAGEREF _Toc161933153 \h </w:instrText>
        </w:r>
        <w:r w:rsidR="00E22CE6" w:rsidRPr="00E22CE6">
          <w:rPr>
            <w:webHidden/>
          </w:rPr>
        </w:r>
        <w:r w:rsidR="00E22CE6" w:rsidRPr="00E22CE6">
          <w:rPr>
            <w:webHidden/>
          </w:rPr>
          <w:fldChar w:fldCharType="separate"/>
        </w:r>
        <w:r w:rsidR="00E873AF">
          <w:rPr>
            <w:webHidden/>
          </w:rPr>
          <w:t>34</w:t>
        </w:r>
        <w:r w:rsidR="00E22CE6" w:rsidRPr="00E22CE6">
          <w:rPr>
            <w:webHidden/>
          </w:rPr>
          <w:fldChar w:fldCharType="end"/>
        </w:r>
      </w:hyperlink>
    </w:p>
    <w:p w14:paraId="0710C74C" w14:textId="4D0B5E81" w:rsidR="00E22CE6" w:rsidRPr="00E22CE6" w:rsidRDefault="00000000" w:rsidP="00E22CE6">
      <w:pPr>
        <w:pStyle w:val="Sommario3"/>
        <w:spacing w:before="60" w:after="60" w:line="326" w:lineRule="auto"/>
        <w:rPr>
          <w:rFonts w:eastAsiaTheme="minorEastAsia"/>
          <w:i w:val="0"/>
          <w:kern w:val="2"/>
          <w14:ligatures w14:val="standardContextual"/>
        </w:rPr>
      </w:pPr>
      <w:hyperlink w:anchor="_Toc161933154" w:history="1">
        <w:r w:rsidR="00E22CE6" w:rsidRPr="00E22CE6">
          <w:rPr>
            <w:rStyle w:val="Collegamentoipertestuale"/>
            <w:rFonts w:cs="Tahoma"/>
          </w:rPr>
          <w:t>3.7.2 Immobile in Svizzera adibito ad abitazione principale non di lusso</w:t>
        </w:r>
        <w:r w:rsidR="00E22CE6" w:rsidRPr="00E22CE6">
          <w:rPr>
            <w:webHidden/>
          </w:rPr>
          <w:tab/>
        </w:r>
        <w:r w:rsidR="00E22CE6" w:rsidRPr="00E22CE6">
          <w:rPr>
            <w:webHidden/>
          </w:rPr>
          <w:fldChar w:fldCharType="begin"/>
        </w:r>
        <w:r w:rsidR="00E22CE6" w:rsidRPr="00E22CE6">
          <w:rPr>
            <w:webHidden/>
          </w:rPr>
          <w:instrText xml:space="preserve"> PAGEREF _Toc161933154 \h </w:instrText>
        </w:r>
        <w:r w:rsidR="00E22CE6" w:rsidRPr="00E22CE6">
          <w:rPr>
            <w:webHidden/>
          </w:rPr>
        </w:r>
        <w:r w:rsidR="00E22CE6" w:rsidRPr="00E22CE6">
          <w:rPr>
            <w:webHidden/>
          </w:rPr>
          <w:fldChar w:fldCharType="separate"/>
        </w:r>
        <w:r w:rsidR="00E873AF">
          <w:rPr>
            <w:webHidden/>
          </w:rPr>
          <w:t>34</w:t>
        </w:r>
        <w:r w:rsidR="00E22CE6" w:rsidRPr="00E22CE6">
          <w:rPr>
            <w:webHidden/>
          </w:rPr>
          <w:fldChar w:fldCharType="end"/>
        </w:r>
      </w:hyperlink>
    </w:p>
    <w:p w14:paraId="29BA5B0B" w14:textId="404A3736" w:rsidR="00E22CE6" w:rsidRPr="00E22CE6" w:rsidRDefault="00000000" w:rsidP="00E22CE6">
      <w:pPr>
        <w:pStyle w:val="Sommario3"/>
        <w:spacing w:before="60" w:after="60" w:line="326" w:lineRule="auto"/>
        <w:rPr>
          <w:rFonts w:eastAsiaTheme="minorEastAsia"/>
          <w:i w:val="0"/>
          <w:kern w:val="2"/>
          <w14:ligatures w14:val="standardContextual"/>
        </w:rPr>
      </w:pPr>
      <w:hyperlink w:anchor="_Toc161933155" w:history="1">
        <w:r w:rsidR="00E22CE6" w:rsidRPr="00E22CE6">
          <w:rPr>
            <w:rStyle w:val="Collegamentoipertestuale"/>
            <w:rFonts w:cs="Tahoma"/>
          </w:rPr>
          <w:t>3.7.3 Immobile concesso in locazione in Germania</w:t>
        </w:r>
        <w:r w:rsidR="00E22CE6" w:rsidRPr="00E22CE6">
          <w:rPr>
            <w:webHidden/>
          </w:rPr>
          <w:tab/>
        </w:r>
        <w:r w:rsidR="00E22CE6" w:rsidRPr="00E22CE6">
          <w:rPr>
            <w:webHidden/>
          </w:rPr>
          <w:fldChar w:fldCharType="begin"/>
        </w:r>
        <w:r w:rsidR="00E22CE6" w:rsidRPr="00E22CE6">
          <w:rPr>
            <w:webHidden/>
          </w:rPr>
          <w:instrText xml:space="preserve"> PAGEREF _Toc161933155 \h </w:instrText>
        </w:r>
        <w:r w:rsidR="00E22CE6" w:rsidRPr="00E22CE6">
          <w:rPr>
            <w:webHidden/>
          </w:rPr>
        </w:r>
        <w:r w:rsidR="00E22CE6" w:rsidRPr="00E22CE6">
          <w:rPr>
            <w:webHidden/>
          </w:rPr>
          <w:fldChar w:fldCharType="separate"/>
        </w:r>
        <w:r w:rsidR="00E873AF">
          <w:rPr>
            <w:webHidden/>
          </w:rPr>
          <w:t>35</w:t>
        </w:r>
        <w:r w:rsidR="00E22CE6" w:rsidRPr="00E22CE6">
          <w:rPr>
            <w:webHidden/>
          </w:rPr>
          <w:fldChar w:fldCharType="end"/>
        </w:r>
      </w:hyperlink>
    </w:p>
    <w:p w14:paraId="6D4383D1" w14:textId="59F8C657" w:rsidR="00E22CE6" w:rsidRPr="00E22CE6" w:rsidRDefault="00000000" w:rsidP="00E22CE6">
      <w:pPr>
        <w:pStyle w:val="Sommario1"/>
        <w:rPr>
          <w:rFonts w:eastAsiaTheme="minorEastAsia"/>
          <w:b w:val="0"/>
          <w:kern w:val="2"/>
          <w14:ligatures w14:val="standardContextual"/>
        </w:rPr>
      </w:pPr>
      <w:hyperlink w:anchor="_Toc161933156" w:history="1">
        <w:r w:rsidR="00E22CE6" w:rsidRPr="00E22CE6">
          <w:rPr>
            <w:rStyle w:val="Collegamentoipertestuale"/>
            <w:rFonts w:cs="Tahoma"/>
          </w:rPr>
          <w:t>4. Pensioni</w:t>
        </w:r>
        <w:r w:rsidR="00E22CE6" w:rsidRPr="00E22CE6">
          <w:rPr>
            <w:webHidden/>
          </w:rPr>
          <w:tab/>
        </w:r>
        <w:r w:rsidR="00E22CE6" w:rsidRPr="00E22CE6">
          <w:rPr>
            <w:webHidden/>
          </w:rPr>
          <w:fldChar w:fldCharType="begin"/>
        </w:r>
        <w:r w:rsidR="00E22CE6" w:rsidRPr="00E22CE6">
          <w:rPr>
            <w:webHidden/>
          </w:rPr>
          <w:instrText xml:space="preserve"> PAGEREF _Toc161933156 \h </w:instrText>
        </w:r>
        <w:r w:rsidR="00E22CE6" w:rsidRPr="00E22CE6">
          <w:rPr>
            <w:webHidden/>
          </w:rPr>
        </w:r>
        <w:r w:rsidR="00E22CE6" w:rsidRPr="00E22CE6">
          <w:rPr>
            <w:webHidden/>
          </w:rPr>
          <w:fldChar w:fldCharType="separate"/>
        </w:r>
        <w:r w:rsidR="00E873AF">
          <w:rPr>
            <w:webHidden/>
          </w:rPr>
          <w:t>36</w:t>
        </w:r>
        <w:r w:rsidR="00E22CE6" w:rsidRPr="00E22CE6">
          <w:rPr>
            <w:webHidden/>
          </w:rPr>
          <w:fldChar w:fldCharType="end"/>
        </w:r>
      </w:hyperlink>
    </w:p>
    <w:p w14:paraId="5224EC6D" w14:textId="561FF869" w:rsidR="00E22CE6" w:rsidRPr="00E22CE6" w:rsidRDefault="00000000" w:rsidP="00E22CE6">
      <w:pPr>
        <w:pStyle w:val="Sommario2"/>
        <w:tabs>
          <w:tab w:val="right" w:leader="dot" w:pos="9202"/>
        </w:tabs>
        <w:spacing w:before="60" w:after="60" w:line="326" w:lineRule="auto"/>
        <w:rPr>
          <w:rFonts w:eastAsiaTheme="minorEastAsia" w:cs="Tahoma"/>
          <w:noProof/>
          <w:kern w:val="2"/>
          <w:szCs w:val="20"/>
          <w14:ligatures w14:val="standardContextual"/>
        </w:rPr>
      </w:pPr>
      <w:hyperlink w:anchor="_Toc161933157" w:history="1">
        <w:r w:rsidR="00E22CE6" w:rsidRPr="00E22CE6">
          <w:rPr>
            <w:rStyle w:val="Collegamentoipertestuale"/>
            <w:rFonts w:cs="Tahoma"/>
            <w:noProof/>
            <w:szCs w:val="20"/>
          </w:rPr>
          <w:t>4.1 Premessa</w:t>
        </w:r>
        <w:r w:rsidR="00E22CE6" w:rsidRPr="00E22CE6">
          <w:rPr>
            <w:rFonts w:cs="Tahoma"/>
            <w:noProof/>
            <w:webHidden/>
            <w:szCs w:val="20"/>
          </w:rPr>
          <w:tab/>
        </w:r>
        <w:r w:rsidR="00E22CE6" w:rsidRPr="00E22CE6">
          <w:rPr>
            <w:rFonts w:cs="Tahoma"/>
            <w:noProof/>
            <w:webHidden/>
            <w:szCs w:val="20"/>
          </w:rPr>
          <w:fldChar w:fldCharType="begin"/>
        </w:r>
        <w:r w:rsidR="00E22CE6" w:rsidRPr="00E22CE6">
          <w:rPr>
            <w:rFonts w:cs="Tahoma"/>
            <w:noProof/>
            <w:webHidden/>
            <w:szCs w:val="20"/>
          </w:rPr>
          <w:instrText xml:space="preserve"> PAGEREF _Toc161933157 \h </w:instrText>
        </w:r>
        <w:r w:rsidR="00E22CE6" w:rsidRPr="00E22CE6">
          <w:rPr>
            <w:rFonts w:cs="Tahoma"/>
            <w:noProof/>
            <w:webHidden/>
            <w:szCs w:val="20"/>
          </w:rPr>
        </w:r>
        <w:r w:rsidR="00E22CE6" w:rsidRPr="00E22CE6">
          <w:rPr>
            <w:rFonts w:cs="Tahoma"/>
            <w:noProof/>
            <w:webHidden/>
            <w:szCs w:val="20"/>
          </w:rPr>
          <w:fldChar w:fldCharType="separate"/>
        </w:r>
        <w:r w:rsidR="00E873AF">
          <w:rPr>
            <w:rFonts w:cs="Tahoma"/>
            <w:noProof/>
            <w:webHidden/>
            <w:szCs w:val="20"/>
          </w:rPr>
          <w:t>36</w:t>
        </w:r>
        <w:r w:rsidR="00E22CE6" w:rsidRPr="00E22CE6">
          <w:rPr>
            <w:rFonts w:cs="Tahoma"/>
            <w:noProof/>
            <w:webHidden/>
            <w:szCs w:val="20"/>
          </w:rPr>
          <w:fldChar w:fldCharType="end"/>
        </w:r>
      </w:hyperlink>
    </w:p>
    <w:p w14:paraId="6D8EE30B" w14:textId="73E46E37" w:rsidR="00E22CE6" w:rsidRPr="00E22CE6" w:rsidRDefault="00000000" w:rsidP="00E22CE6">
      <w:pPr>
        <w:pStyle w:val="Sommario2"/>
        <w:tabs>
          <w:tab w:val="right" w:leader="dot" w:pos="9202"/>
        </w:tabs>
        <w:spacing w:before="60" w:after="60" w:line="326" w:lineRule="auto"/>
        <w:rPr>
          <w:rFonts w:eastAsiaTheme="minorEastAsia" w:cs="Tahoma"/>
          <w:noProof/>
          <w:kern w:val="2"/>
          <w:szCs w:val="20"/>
          <w14:ligatures w14:val="standardContextual"/>
        </w:rPr>
      </w:pPr>
      <w:hyperlink w:anchor="_Toc161933158" w:history="1">
        <w:r w:rsidR="00E22CE6" w:rsidRPr="00E22CE6">
          <w:rPr>
            <w:rStyle w:val="Collegamentoipertestuale"/>
            <w:rFonts w:cs="Tahoma"/>
            <w:noProof/>
            <w:szCs w:val="20"/>
          </w:rPr>
          <w:t>4.2 Le Convenzioni contro le doppie imposizioni</w:t>
        </w:r>
        <w:r w:rsidR="00E22CE6" w:rsidRPr="00E22CE6">
          <w:rPr>
            <w:rFonts w:cs="Tahoma"/>
            <w:noProof/>
            <w:webHidden/>
            <w:szCs w:val="20"/>
          </w:rPr>
          <w:tab/>
        </w:r>
        <w:r w:rsidR="00E22CE6" w:rsidRPr="00E22CE6">
          <w:rPr>
            <w:rFonts w:cs="Tahoma"/>
            <w:noProof/>
            <w:webHidden/>
            <w:szCs w:val="20"/>
          </w:rPr>
          <w:fldChar w:fldCharType="begin"/>
        </w:r>
        <w:r w:rsidR="00E22CE6" w:rsidRPr="00E22CE6">
          <w:rPr>
            <w:rFonts w:cs="Tahoma"/>
            <w:noProof/>
            <w:webHidden/>
            <w:szCs w:val="20"/>
          </w:rPr>
          <w:instrText xml:space="preserve"> PAGEREF _Toc161933158 \h </w:instrText>
        </w:r>
        <w:r w:rsidR="00E22CE6" w:rsidRPr="00E22CE6">
          <w:rPr>
            <w:rFonts w:cs="Tahoma"/>
            <w:noProof/>
            <w:webHidden/>
            <w:szCs w:val="20"/>
          </w:rPr>
        </w:r>
        <w:r w:rsidR="00E22CE6" w:rsidRPr="00E22CE6">
          <w:rPr>
            <w:rFonts w:cs="Tahoma"/>
            <w:noProof/>
            <w:webHidden/>
            <w:szCs w:val="20"/>
          </w:rPr>
          <w:fldChar w:fldCharType="separate"/>
        </w:r>
        <w:r w:rsidR="00E873AF">
          <w:rPr>
            <w:rFonts w:cs="Tahoma"/>
            <w:noProof/>
            <w:webHidden/>
            <w:szCs w:val="20"/>
          </w:rPr>
          <w:t>36</w:t>
        </w:r>
        <w:r w:rsidR="00E22CE6" w:rsidRPr="00E22CE6">
          <w:rPr>
            <w:rFonts w:cs="Tahoma"/>
            <w:noProof/>
            <w:webHidden/>
            <w:szCs w:val="20"/>
          </w:rPr>
          <w:fldChar w:fldCharType="end"/>
        </w:r>
      </w:hyperlink>
    </w:p>
    <w:p w14:paraId="1DA907D9" w14:textId="4E7E8199" w:rsidR="00E22CE6" w:rsidRPr="00E22CE6" w:rsidRDefault="00000000" w:rsidP="00E22CE6">
      <w:pPr>
        <w:pStyle w:val="Sommario2"/>
        <w:tabs>
          <w:tab w:val="right" w:leader="dot" w:pos="9202"/>
        </w:tabs>
        <w:spacing w:before="60" w:after="60" w:line="326" w:lineRule="auto"/>
        <w:rPr>
          <w:rFonts w:eastAsiaTheme="minorEastAsia" w:cs="Tahoma"/>
          <w:noProof/>
          <w:kern w:val="2"/>
          <w:szCs w:val="20"/>
          <w14:ligatures w14:val="standardContextual"/>
        </w:rPr>
      </w:pPr>
      <w:hyperlink w:anchor="_Toc161933159" w:history="1">
        <w:r w:rsidR="00E22CE6" w:rsidRPr="00E22CE6">
          <w:rPr>
            <w:rStyle w:val="Collegamentoipertestuale"/>
            <w:rFonts w:cs="Tahoma"/>
            <w:noProof/>
            <w:szCs w:val="20"/>
          </w:rPr>
          <w:t>4.3 Modalità di tassazione</w:t>
        </w:r>
        <w:r w:rsidR="00E22CE6" w:rsidRPr="00E22CE6">
          <w:rPr>
            <w:rFonts w:cs="Tahoma"/>
            <w:noProof/>
            <w:webHidden/>
            <w:szCs w:val="20"/>
          </w:rPr>
          <w:tab/>
        </w:r>
        <w:r w:rsidR="00E22CE6" w:rsidRPr="00E22CE6">
          <w:rPr>
            <w:rFonts w:cs="Tahoma"/>
            <w:noProof/>
            <w:webHidden/>
            <w:szCs w:val="20"/>
          </w:rPr>
          <w:fldChar w:fldCharType="begin"/>
        </w:r>
        <w:r w:rsidR="00E22CE6" w:rsidRPr="00E22CE6">
          <w:rPr>
            <w:rFonts w:cs="Tahoma"/>
            <w:noProof/>
            <w:webHidden/>
            <w:szCs w:val="20"/>
          </w:rPr>
          <w:instrText xml:space="preserve"> PAGEREF _Toc161933159 \h </w:instrText>
        </w:r>
        <w:r w:rsidR="00E22CE6" w:rsidRPr="00E22CE6">
          <w:rPr>
            <w:rFonts w:cs="Tahoma"/>
            <w:noProof/>
            <w:webHidden/>
            <w:szCs w:val="20"/>
          </w:rPr>
        </w:r>
        <w:r w:rsidR="00E22CE6" w:rsidRPr="00E22CE6">
          <w:rPr>
            <w:rFonts w:cs="Tahoma"/>
            <w:noProof/>
            <w:webHidden/>
            <w:szCs w:val="20"/>
          </w:rPr>
          <w:fldChar w:fldCharType="separate"/>
        </w:r>
        <w:r w:rsidR="00E873AF">
          <w:rPr>
            <w:rFonts w:cs="Tahoma"/>
            <w:noProof/>
            <w:webHidden/>
            <w:szCs w:val="20"/>
          </w:rPr>
          <w:t>37</w:t>
        </w:r>
        <w:r w:rsidR="00E22CE6" w:rsidRPr="00E22CE6">
          <w:rPr>
            <w:rFonts w:cs="Tahoma"/>
            <w:noProof/>
            <w:webHidden/>
            <w:szCs w:val="20"/>
          </w:rPr>
          <w:fldChar w:fldCharType="end"/>
        </w:r>
      </w:hyperlink>
    </w:p>
    <w:p w14:paraId="789EC434" w14:textId="0B258132" w:rsidR="00E22CE6" w:rsidRPr="00E22CE6" w:rsidRDefault="00000000" w:rsidP="00E22CE6">
      <w:pPr>
        <w:pStyle w:val="Sommario2"/>
        <w:tabs>
          <w:tab w:val="right" w:leader="dot" w:pos="9202"/>
        </w:tabs>
        <w:spacing w:before="60" w:after="60" w:line="326" w:lineRule="auto"/>
        <w:rPr>
          <w:rFonts w:eastAsiaTheme="minorEastAsia" w:cs="Tahoma"/>
          <w:noProof/>
          <w:kern w:val="2"/>
          <w:szCs w:val="20"/>
          <w14:ligatures w14:val="standardContextual"/>
        </w:rPr>
      </w:pPr>
      <w:hyperlink w:anchor="_Toc161933160" w:history="1">
        <w:r w:rsidR="00E22CE6" w:rsidRPr="00E22CE6">
          <w:rPr>
            <w:rStyle w:val="Collegamentoipertestuale"/>
            <w:rFonts w:cs="Tahoma"/>
            <w:noProof/>
            <w:szCs w:val="20"/>
          </w:rPr>
          <w:t>4.4 Credito per le imposte pagate all’estero</w:t>
        </w:r>
        <w:r w:rsidR="00E22CE6" w:rsidRPr="00E22CE6">
          <w:rPr>
            <w:rFonts w:cs="Tahoma"/>
            <w:noProof/>
            <w:webHidden/>
            <w:szCs w:val="20"/>
          </w:rPr>
          <w:tab/>
        </w:r>
        <w:r w:rsidR="00E22CE6" w:rsidRPr="00E22CE6">
          <w:rPr>
            <w:rFonts w:cs="Tahoma"/>
            <w:noProof/>
            <w:webHidden/>
            <w:szCs w:val="20"/>
          </w:rPr>
          <w:fldChar w:fldCharType="begin"/>
        </w:r>
        <w:r w:rsidR="00E22CE6" w:rsidRPr="00E22CE6">
          <w:rPr>
            <w:rFonts w:cs="Tahoma"/>
            <w:noProof/>
            <w:webHidden/>
            <w:szCs w:val="20"/>
          </w:rPr>
          <w:instrText xml:space="preserve"> PAGEREF _Toc161933160 \h </w:instrText>
        </w:r>
        <w:r w:rsidR="00E22CE6" w:rsidRPr="00E22CE6">
          <w:rPr>
            <w:rFonts w:cs="Tahoma"/>
            <w:noProof/>
            <w:webHidden/>
            <w:szCs w:val="20"/>
          </w:rPr>
        </w:r>
        <w:r w:rsidR="00E22CE6" w:rsidRPr="00E22CE6">
          <w:rPr>
            <w:rFonts w:cs="Tahoma"/>
            <w:noProof/>
            <w:webHidden/>
            <w:szCs w:val="20"/>
          </w:rPr>
          <w:fldChar w:fldCharType="separate"/>
        </w:r>
        <w:r w:rsidR="00E873AF">
          <w:rPr>
            <w:rFonts w:cs="Tahoma"/>
            <w:noProof/>
            <w:webHidden/>
            <w:szCs w:val="20"/>
          </w:rPr>
          <w:t>38</w:t>
        </w:r>
        <w:r w:rsidR="00E22CE6" w:rsidRPr="00E22CE6">
          <w:rPr>
            <w:rFonts w:cs="Tahoma"/>
            <w:noProof/>
            <w:webHidden/>
            <w:szCs w:val="20"/>
          </w:rPr>
          <w:fldChar w:fldCharType="end"/>
        </w:r>
      </w:hyperlink>
    </w:p>
    <w:p w14:paraId="7DD9FDD1" w14:textId="218D0E73" w:rsidR="00E22CE6" w:rsidRPr="00E22CE6" w:rsidRDefault="00000000" w:rsidP="00E22CE6">
      <w:pPr>
        <w:pStyle w:val="Sommario2"/>
        <w:tabs>
          <w:tab w:val="right" w:leader="dot" w:pos="9202"/>
        </w:tabs>
        <w:spacing w:before="60" w:after="60" w:line="326" w:lineRule="auto"/>
        <w:rPr>
          <w:rFonts w:eastAsiaTheme="minorEastAsia" w:cs="Tahoma"/>
          <w:noProof/>
          <w:kern w:val="2"/>
          <w:szCs w:val="20"/>
          <w14:ligatures w14:val="standardContextual"/>
        </w:rPr>
      </w:pPr>
      <w:hyperlink w:anchor="_Toc161933161" w:history="1">
        <w:r w:rsidR="00E22CE6" w:rsidRPr="00E22CE6">
          <w:rPr>
            <w:rStyle w:val="Collegamentoipertestuale"/>
            <w:rFonts w:cs="Tahoma"/>
            <w:noProof/>
            <w:szCs w:val="20"/>
          </w:rPr>
          <w:t>4.5 Rimborso delle imposte applicate all’estero</w:t>
        </w:r>
        <w:r w:rsidR="00E22CE6" w:rsidRPr="00E22CE6">
          <w:rPr>
            <w:rFonts w:cs="Tahoma"/>
            <w:noProof/>
            <w:webHidden/>
            <w:szCs w:val="20"/>
          </w:rPr>
          <w:tab/>
        </w:r>
        <w:r w:rsidR="00E22CE6" w:rsidRPr="00E22CE6">
          <w:rPr>
            <w:rFonts w:cs="Tahoma"/>
            <w:noProof/>
            <w:webHidden/>
            <w:szCs w:val="20"/>
          </w:rPr>
          <w:fldChar w:fldCharType="begin"/>
        </w:r>
        <w:r w:rsidR="00E22CE6" w:rsidRPr="00E22CE6">
          <w:rPr>
            <w:rFonts w:cs="Tahoma"/>
            <w:noProof/>
            <w:webHidden/>
            <w:szCs w:val="20"/>
          </w:rPr>
          <w:instrText xml:space="preserve"> PAGEREF _Toc161933161 \h </w:instrText>
        </w:r>
        <w:r w:rsidR="00E22CE6" w:rsidRPr="00E22CE6">
          <w:rPr>
            <w:rFonts w:cs="Tahoma"/>
            <w:noProof/>
            <w:webHidden/>
            <w:szCs w:val="20"/>
          </w:rPr>
        </w:r>
        <w:r w:rsidR="00E22CE6" w:rsidRPr="00E22CE6">
          <w:rPr>
            <w:rFonts w:cs="Tahoma"/>
            <w:noProof/>
            <w:webHidden/>
            <w:szCs w:val="20"/>
          </w:rPr>
          <w:fldChar w:fldCharType="separate"/>
        </w:r>
        <w:r w:rsidR="00E873AF">
          <w:rPr>
            <w:rFonts w:cs="Tahoma"/>
            <w:noProof/>
            <w:webHidden/>
            <w:szCs w:val="20"/>
          </w:rPr>
          <w:t>38</w:t>
        </w:r>
        <w:r w:rsidR="00E22CE6" w:rsidRPr="00E22CE6">
          <w:rPr>
            <w:rFonts w:cs="Tahoma"/>
            <w:noProof/>
            <w:webHidden/>
            <w:szCs w:val="20"/>
          </w:rPr>
          <w:fldChar w:fldCharType="end"/>
        </w:r>
      </w:hyperlink>
    </w:p>
    <w:p w14:paraId="2EEB2FBE" w14:textId="558EA8E0" w:rsidR="00E22CE6" w:rsidRPr="00E22CE6" w:rsidRDefault="00000000" w:rsidP="00E22CE6">
      <w:pPr>
        <w:pStyle w:val="Sommario2"/>
        <w:tabs>
          <w:tab w:val="right" w:leader="dot" w:pos="9202"/>
        </w:tabs>
        <w:spacing w:before="60" w:after="60" w:line="326" w:lineRule="auto"/>
        <w:rPr>
          <w:rFonts w:eastAsiaTheme="minorEastAsia" w:cs="Tahoma"/>
          <w:noProof/>
          <w:kern w:val="2"/>
          <w:szCs w:val="20"/>
          <w14:ligatures w14:val="standardContextual"/>
        </w:rPr>
      </w:pPr>
      <w:hyperlink w:anchor="_Toc161933162" w:history="1">
        <w:r w:rsidR="00E22CE6" w:rsidRPr="00E22CE6">
          <w:rPr>
            <w:rStyle w:val="Collegamentoipertestuale"/>
            <w:rFonts w:cs="Tahoma"/>
            <w:noProof/>
            <w:szCs w:val="20"/>
          </w:rPr>
          <w:t>4.6 Indicazione del reddito nel quadro RC del modello REDDITI</w:t>
        </w:r>
        <w:r w:rsidR="00E22CE6" w:rsidRPr="00E22CE6">
          <w:rPr>
            <w:rFonts w:cs="Tahoma"/>
            <w:noProof/>
            <w:webHidden/>
            <w:szCs w:val="20"/>
          </w:rPr>
          <w:tab/>
        </w:r>
        <w:r w:rsidR="00E22CE6" w:rsidRPr="00E22CE6">
          <w:rPr>
            <w:rFonts w:cs="Tahoma"/>
            <w:noProof/>
            <w:webHidden/>
            <w:szCs w:val="20"/>
          </w:rPr>
          <w:fldChar w:fldCharType="begin"/>
        </w:r>
        <w:r w:rsidR="00E22CE6" w:rsidRPr="00E22CE6">
          <w:rPr>
            <w:rFonts w:cs="Tahoma"/>
            <w:noProof/>
            <w:webHidden/>
            <w:szCs w:val="20"/>
          </w:rPr>
          <w:instrText xml:space="preserve"> PAGEREF _Toc161933162 \h </w:instrText>
        </w:r>
        <w:r w:rsidR="00E22CE6" w:rsidRPr="00E22CE6">
          <w:rPr>
            <w:rFonts w:cs="Tahoma"/>
            <w:noProof/>
            <w:webHidden/>
            <w:szCs w:val="20"/>
          </w:rPr>
        </w:r>
        <w:r w:rsidR="00E22CE6" w:rsidRPr="00E22CE6">
          <w:rPr>
            <w:rFonts w:cs="Tahoma"/>
            <w:noProof/>
            <w:webHidden/>
            <w:szCs w:val="20"/>
          </w:rPr>
          <w:fldChar w:fldCharType="separate"/>
        </w:r>
        <w:r w:rsidR="00E873AF">
          <w:rPr>
            <w:rFonts w:cs="Tahoma"/>
            <w:noProof/>
            <w:webHidden/>
            <w:szCs w:val="20"/>
          </w:rPr>
          <w:t>38</w:t>
        </w:r>
        <w:r w:rsidR="00E22CE6" w:rsidRPr="00E22CE6">
          <w:rPr>
            <w:rFonts w:cs="Tahoma"/>
            <w:noProof/>
            <w:webHidden/>
            <w:szCs w:val="20"/>
          </w:rPr>
          <w:fldChar w:fldCharType="end"/>
        </w:r>
      </w:hyperlink>
    </w:p>
    <w:p w14:paraId="0F934665" w14:textId="38FFD292" w:rsidR="00E22CE6" w:rsidRPr="00E22CE6" w:rsidRDefault="00000000" w:rsidP="00E22CE6">
      <w:pPr>
        <w:pStyle w:val="Sommario3"/>
        <w:spacing w:before="60" w:after="60" w:line="326" w:lineRule="auto"/>
        <w:rPr>
          <w:rFonts w:eastAsiaTheme="minorEastAsia"/>
          <w:i w:val="0"/>
          <w:kern w:val="2"/>
          <w14:ligatures w14:val="standardContextual"/>
        </w:rPr>
      </w:pPr>
      <w:hyperlink w:anchor="_Toc161933163" w:history="1">
        <w:r w:rsidR="00E22CE6" w:rsidRPr="00E22CE6">
          <w:rPr>
            <w:rStyle w:val="Collegamentoipertestuale"/>
            <w:rFonts w:cs="Tahoma"/>
          </w:rPr>
          <w:t>4.6.1 Pensione tassata nei modi ordinari</w:t>
        </w:r>
        <w:r w:rsidR="00E22CE6" w:rsidRPr="00E22CE6">
          <w:rPr>
            <w:webHidden/>
          </w:rPr>
          <w:tab/>
        </w:r>
        <w:r w:rsidR="00E22CE6" w:rsidRPr="00E22CE6">
          <w:rPr>
            <w:webHidden/>
          </w:rPr>
          <w:fldChar w:fldCharType="begin"/>
        </w:r>
        <w:r w:rsidR="00E22CE6" w:rsidRPr="00E22CE6">
          <w:rPr>
            <w:webHidden/>
          </w:rPr>
          <w:instrText xml:space="preserve"> PAGEREF _Toc161933163 \h </w:instrText>
        </w:r>
        <w:r w:rsidR="00E22CE6" w:rsidRPr="00E22CE6">
          <w:rPr>
            <w:webHidden/>
          </w:rPr>
        </w:r>
        <w:r w:rsidR="00E22CE6" w:rsidRPr="00E22CE6">
          <w:rPr>
            <w:webHidden/>
          </w:rPr>
          <w:fldChar w:fldCharType="separate"/>
        </w:r>
        <w:r w:rsidR="00E873AF">
          <w:rPr>
            <w:webHidden/>
          </w:rPr>
          <w:t>39</w:t>
        </w:r>
        <w:r w:rsidR="00E22CE6" w:rsidRPr="00E22CE6">
          <w:rPr>
            <w:webHidden/>
          </w:rPr>
          <w:fldChar w:fldCharType="end"/>
        </w:r>
      </w:hyperlink>
    </w:p>
    <w:p w14:paraId="20005747" w14:textId="6B67DC3E" w:rsidR="00E22CE6" w:rsidRPr="00E22CE6" w:rsidRDefault="00000000" w:rsidP="00E22CE6">
      <w:pPr>
        <w:pStyle w:val="Sommario3"/>
        <w:spacing w:before="60" w:after="60" w:line="326" w:lineRule="auto"/>
        <w:rPr>
          <w:rFonts w:eastAsiaTheme="minorEastAsia"/>
          <w:i w:val="0"/>
          <w:kern w:val="2"/>
          <w14:ligatures w14:val="standardContextual"/>
        </w:rPr>
      </w:pPr>
      <w:hyperlink w:anchor="_Toc161933164" w:history="1">
        <w:r w:rsidR="00E22CE6" w:rsidRPr="00E22CE6">
          <w:rPr>
            <w:rStyle w:val="Collegamentoipertestuale"/>
            <w:rFonts w:cs="Tahoma"/>
          </w:rPr>
          <w:t>4.6.2 Pensione tassata nei modi ordinari e non applicazione ritenute dal Paese erogante</w:t>
        </w:r>
        <w:r w:rsidR="00E22CE6" w:rsidRPr="00E22CE6">
          <w:rPr>
            <w:webHidden/>
          </w:rPr>
          <w:tab/>
        </w:r>
        <w:r w:rsidR="00E22CE6" w:rsidRPr="00E22CE6">
          <w:rPr>
            <w:webHidden/>
          </w:rPr>
          <w:fldChar w:fldCharType="begin"/>
        </w:r>
        <w:r w:rsidR="00E22CE6" w:rsidRPr="00E22CE6">
          <w:rPr>
            <w:webHidden/>
          </w:rPr>
          <w:instrText xml:space="preserve"> PAGEREF _Toc161933164 \h </w:instrText>
        </w:r>
        <w:r w:rsidR="00E22CE6" w:rsidRPr="00E22CE6">
          <w:rPr>
            <w:webHidden/>
          </w:rPr>
        </w:r>
        <w:r w:rsidR="00E22CE6" w:rsidRPr="00E22CE6">
          <w:rPr>
            <w:webHidden/>
          </w:rPr>
          <w:fldChar w:fldCharType="separate"/>
        </w:r>
        <w:r w:rsidR="00E873AF">
          <w:rPr>
            <w:webHidden/>
          </w:rPr>
          <w:t>39</w:t>
        </w:r>
        <w:r w:rsidR="00E22CE6" w:rsidRPr="00E22CE6">
          <w:rPr>
            <w:webHidden/>
          </w:rPr>
          <w:fldChar w:fldCharType="end"/>
        </w:r>
      </w:hyperlink>
    </w:p>
    <w:p w14:paraId="4820F651" w14:textId="6754EDF8" w:rsidR="00E22CE6" w:rsidRPr="00E22CE6" w:rsidRDefault="00000000" w:rsidP="00E22CE6">
      <w:pPr>
        <w:pStyle w:val="Sommario3"/>
        <w:spacing w:before="60" w:after="60" w:line="326" w:lineRule="auto"/>
        <w:rPr>
          <w:rFonts w:eastAsiaTheme="minorEastAsia"/>
          <w:i w:val="0"/>
          <w:kern w:val="2"/>
          <w14:ligatures w14:val="standardContextual"/>
        </w:rPr>
      </w:pPr>
      <w:hyperlink w:anchor="_Toc161933165" w:history="1">
        <w:r w:rsidR="00E22CE6" w:rsidRPr="00E22CE6">
          <w:rPr>
            <w:rStyle w:val="Collegamentoipertestuale"/>
            <w:rFonts w:cs="Tahoma"/>
          </w:rPr>
          <w:t>4.6.3 Pensione tassata nei modi ordinari e applicazione ritenute dal Paese erogante</w:t>
        </w:r>
        <w:r w:rsidR="00E22CE6" w:rsidRPr="00E22CE6">
          <w:rPr>
            <w:webHidden/>
          </w:rPr>
          <w:tab/>
        </w:r>
        <w:r w:rsidR="00E22CE6" w:rsidRPr="00E22CE6">
          <w:rPr>
            <w:webHidden/>
          </w:rPr>
          <w:fldChar w:fldCharType="begin"/>
        </w:r>
        <w:r w:rsidR="00E22CE6" w:rsidRPr="00E22CE6">
          <w:rPr>
            <w:webHidden/>
          </w:rPr>
          <w:instrText xml:space="preserve"> PAGEREF _Toc161933165 \h </w:instrText>
        </w:r>
        <w:r w:rsidR="00E22CE6" w:rsidRPr="00E22CE6">
          <w:rPr>
            <w:webHidden/>
          </w:rPr>
        </w:r>
        <w:r w:rsidR="00E22CE6" w:rsidRPr="00E22CE6">
          <w:rPr>
            <w:webHidden/>
          </w:rPr>
          <w:fldChar w:fldCharType="separate"/>
        </w:r>
        <w:r w:rsidR="00E873AF">
          <w:rPr>
            <w:webHidden/>
          </w:rPr>
          <w:t>40</w:t>
        </w:r>
        <w:r w:rsidR="00E22CE6" w:rsidRPr="00E22CE6">
          <w:rPr>
            <w:webHidden/>
          </w:rPr>
          <w:fldChar w:fldCharType="end"/>
        </w:r>
      </w:hyperlink>
    </w:p>
    <w:p w14:paraId="33964BC1" w14:textId="116EE33F" w:rsidR="00E22CE6" w:rsidRPr="00E22CE6" w:rsidRDefault="00000000" w:rsidP="00E22CE6">
      <w:pPr>
        <w:pStyle w:val="Sommario1"/>
        <w:rPr>
          <w:rFonts w:eastAsiaTheme="minorEastAsia"/>
          <w:b w:val="0"/>
          <w:kern w:val="2"/>
          <w14:ligatures w14:val="standardContextual"/>
        </w:rPr>
      </w:pPr>
      <w:hyperlink w:anchor="_Toc161933166" w:history="1">
        <w:r w:rsidR="00E22CE6" w:rsidRPr="00E22CE6">
          <w:rPr>
            <w:rStyle w:val="Collegamentoipertestuale"/>
            <w:rFonts w:cs="Tahoma"/>
          </w:rPr>
          <w:t>5. I dividendi</w:t>
        </w:r>
        <w:r w:rsidR="00E22CE6" w:rsidRPr="00E22CE6">
          <w:rPr>
            <w:webHidden/>
          </w:rPr>
          <w:tab/>
        </w:r>
        <w:r w:rsidR="00E22CE6" w:rsidRPr="00E22CE6">
          <w:rPr>
            <w:webHidden/>
          </w:rPr>
          <w:fldChar w:fldCharType="begin"/>
        </w:r>
        <w:r w:rsidR="00E22CE6" w:rsidRPr="00E22CE6">
          <w:rPr>
            <w:webHidden/>
          </w:rPr>
          <w:instrText xml:space="preserve"> PAGEREF _Toc161933166 \h </w:instrText>
        </w:r>
        <w:r w:rsidR="00E22CE6" w:rsidRPr="00E22CE6">
          <w:rPr>
            <w:webHidden/>
          </w:rPr>
        </w:r>
        <w:r w:rsidR="00E22CE6" w:rsidRPr="00E22CE6">
          <w:rPr>
            <w:webHidden/>
          </w:rPr>
          <w:fldChar w:fldCharType="separate"/>
        </w:r>
        <w:r w:rsidR="00E873AF">
          <w:rPr>
            <w:webHidden/>
          </w:rPr>
          <w:t>41</w:t>
        </w:r>
        <w:r w:rsidR="00E22CE6" w:rsidRPr="00E22CE6">
          <w:rPr>
            <w:webHidden/>
          </w:rPr>
          <w:fldChar w:fldCharType="end"/>
        </w:r>
      </w:hyperlink>
    </w:p>
    <w:p w14:paraId="27E50C26" w14:textId="29D6C5E9" w:rsidR="00E22CE6" w:rsidRPr="00E22CE6" w:rsidRDefault="00000000" w:rsidP="00E22CE6">
      <w:pPr>
        <w:pStyle w:val="Sommario2"/>
        <w:tabs>
          <w:tab w:val="right" w:leader="dot" w:pos="9202"/>
        </w:tabs>
        <w:spacing w:before="60" w:after="60" w:line="326" w:lineRule="auto"/>
        <w:rPr>
          <w:rFonts w:eastAsiaTheme="minorEastAsia" w:cs="Tahoma"/>
          <w:noProof/>
          <w:kern w:val="2"/>
          <w:szCs w:val="20"/>
          <w14:ligatures w14:val="standardContextual"/>
        </w:rPr>
      </w:pPr>
      <w:hyperlink w:anchor="_Toc161933167" w:history="1">
        <w:r w:rsidR="00E22CE6" w:rsidRPr="00E22CE6">
          <w:rPr>
            <w:rStyle w:val="Collegamentoipertestuale"/>
            <w:rFonts w:cs="Tahoma"/>
            <w:noProof/>
            <w:szCs w:val="20"/>
          </w:rPr>
          <w:t>5.1 Criteri di territorialità</w:t>
        </w:r>
        <w:r w:rsidR="00E22CE6" w:rsidRPr="00E22CE6">
          <w:rPr>
            <w:rFonts w:cs="Tahoma"/>
            <w:noProof/>
            <w:webHidden/>
            <w:szCs w:val="20"/>
          </w:rPr>
          <w:tab/>
        </w:r>
        <w:r w:rsidR="00E22CE6" w:rsidRPr="00E22CE6">
          <w:rPr>
            <w:rFonts w:cs="Tahoma"/>
            <w:noProof/>
            <w:webHidden/>
            <w:szCs w:val="20"/>
          </w:rPr>
          <w:fldChar w:fldCharType="begin"/>
        </w:r>
        <w:r w:rsidR="00E22CE6" w:rsidRPr="00E22CE6">
          <w:rPr>
            <w:rFonts w:cs="Tahoma"/>
            <w:noProof/>
            <w:webHidden/>
            <w:szCs w:val="20"/>
          </w:rPr>
          <w:instrText xml:space="preserve"> PAGEREF _Toc161933167 \h </w:instrText>
        </w:r>
        <w:r w:rsidR="00E22CE6" w:rsidRPr="00E22CE6">
          <w:rPr>
            <w:rFonts w:cs="Tahoma"/>
            <w:noProof/>
            <w:webHidden/>
            <w:szCs w:val="20"/>
          </w:rPr>
        </w:r>
        <w:r w:rsidR="00E22CE6" w:rsidRPr="00E22CE6">
          <w:rPr>
            <w:rFonts w:cs="Tahoma"/>
            <w:noProof/>
            <w:webHidden/>
            <w:szCs w:val="20"/>
          </w:rPr>
          <w:fldChar w:fldCharType="separate"/>
        </w:r>
        <w:r w:rsidR="00E873AF">
          <w:rPr>
            <w:rFonts w:cs="Tahoma"/>
            <w:noProof/>
            <w:webHidden/>
            <w:szCs w:val="20"/>
          </w:rPr>
          <w:t>42</w:t>
        </w:r>
        <w:r w:rsidR="00E22CE6" w:rsidRPr="00E22CE6">
          <w:rPr>
            <w:rFonts w:cs="Tahoma"/>
            <w:noProof/>
            <w:webHidden/>
            <w:szCs w:val="20"/>
          </w:rPr>
          <w:fldChar w:fldCharType="end"/>
        </w:r>
      </w:hyperlink>
    </w:p>
    <w:p w14:paraId="190FC9E6" w14:textId="749AFF20" w:rsidR="00E22CE6" w:rsidRPr="00E22CE6" w:rsidRDefault="00000000" w:rsidP="00E22CE6">
      <w:pPr>
        <w:pStyle w:val="Sommario2"/>
        <w:tabs>
          <w:tab w:val="right" w:leader="dot" w:pos="9202"/>
        </w:tabs>
        <w:spacing w:before="60" w:after="60" w:line="326" w:lineRule="auto"/>
        <w:rPr>
          <w:rFonts w:eastAsiaTheme="minorEastAsia" w:cs="Tahoma"/>
          <w:noProof/>
          <w:kern w:val="2"/>
          <w:szCs w:val="20"/>
          <w14:ligatures w14:val="standardContextual"/>
        </w:rPr>
      </w:pPr>
      <w:hyperlink w:anchor="_Toc161933168" w:history="1">
        <w:r w:rsidR="00E22CE6" w:rsidRPr="00E22CE6">
          <w:rPr>
            <w:rStyle w:val="Collegamentoipertestuale"/>
            <w:rFonts w:cs="Tahoma"/>
            <w:noProof/>
            <w:szCs w:val="20"/>
          </w:rPr>
          <w:t>5.2 Convenzioni contro le doppie imposizioni</w:t>
        </w:r>
        <w:r w:rsidR="00E22CE6" w:rsidRPr="00E22CE6">
          <w:rPr>
            <w:rFonts w:cs="Tahoma"/>
            <w:noProof/>
            <w:webHidden/>
            <w:szCs w:val="20"/>
          </w:rPr>
          <w:tab/>
        </w:r>
        <w:r w:rsidR="00E22CE6" w:rsidRPr="00E22CE6">
          <w:rPr>
            <w:rFonts w:cs="Tahoma"/>
            <w:noProof/>
            <w:webHidden/>
            <w:szCs w:val="20"/>
          </w:rPr>
          <w:fldChar w:fldCharType="begin"/>
        </w:r>
        <w:r w:rsidR="00E22CE6" w:rsidRPr="00E22CE6">
          <w:rPr>
            <w:rFonts w:cs="Tahoma"/>
            <w:noProof/>
            <w:webHidden/>
            <w:szCs w:val="20"/>
          </w:rPr>
          <w:instrText xml:space="preserve"> PAGEREF _Toc161933168 \h </w:instrText>
        </w:r>
        <w:r w:rsidR="00E22CE6" w:rsidRPr="00E22CE6">
          <w:rPr>
            <w:rFonts w:cs="Tahoma"/>
            <w:noProof/>
            <w:webHidden/>
            <w:szCs w:val="20"/>
          </w:rPr>
        </w:r>
        <w:r w:rsidR="00E22CE6" w:rsidRPr="00E22CE6">
          <w:rPr>
            <w:rFonts w:cs="Tahoma"/>
            <w:noProof/>
            <w:webHidden/>
            <w:szCs w:val="20"/>
          </w:rPr>
          <w:fldChar w:fldCharType="separate"/>
        </w:r>
        <w:r w:rsidR="00E873AF">
          <w:rPr>
            <w:rFonts w:cs="Tahoma"/>
            <w:noProof/>
            <w:webHidden/>
            <w:szCs w:val="20"/>
          </w:rPr>
          <w:t>42</w:t>
        </w:r>
        <w:r w:rsidR="00E22CE6" w:rsidRPr="00E22CE6">
          <w:rPr>
            <w:rFonts w:cs="Tahoma"/>
            <w:noProof/>
            <w:webHidden/>
            <w:szCs w:val="20"/>
          </w:rPr>
          <w:fldChar w:fldCharType="end"/>
        </w:r>
      </w:hyperlink>
    </w:p>
    <w:p w14:paraId="0DC149F6" w14:textId="4E761252" w:rsidR="00E22CE6" w:rsidRPr="00E22CE6" w:rsidRDefault="00000000" w:rsidP="00E22CE6">
      <w:pPr>
        <w:pStyle w:val="Sommario2"/>
        <w:tabs>
          <w:tab w:val="right" w:leader="dot" w:pos="9202"/>
        </w:tabs>
        <w:spacing w:before="60" w:after="60" w:line="326" w:lineRule="auto"/>
        <w:rPr>
          <w:rFonts w:eastAsiaTheme="minorEastAsia" w:cs="Tahoma"/>
          <w:noProof/>
          <w:kern w:val="2"/>
          <w:szCs w:val="20"/>
          <w14:ligatures w14:val="standardContextual"/>
        </w:rPr>
      </w:pPr>
      <w:hyperlink w:anchor="_Toc161933169" w:history="1">
        <w:r w:rsidR="00E22CE6" w:rsidRPr="00E22CE6">
          <w:rPr>
            <w:rStyle w:val="Collegamentoipertestuale"/>
            <w:rFonts w:cs="Tahoma"/>
            <w:noProof/>
            <w:szCs w:val="20"/>
          </w:rPr>
          <w:t>5.3 Dividendi esteri derivanti da partecipazioni non black list</w:t>
        </w:r>
        <w:r w:rsidR="00E22CE6" w:rsidRPr="00E22CE6">
          <w:rPr>
            <w:rFonts w:cs="Tahoma"/>
            <w:noProof/>
            <w:webHidden/>
            <w:szCs w:val="20"/>
          </w:rPr>
          <w:tab/>
        </w:r>
        <w:r w:rsidR="00E22CE6" w:rsidRPr="00E22CE6">
          <w:rPr>
            <w:rFonts w:cs="Tahoma"/>
            <w:noProof/>
            <w:webHidden/>
            <w:szCs w:val="20"/>
          </w:rPr>
          <w:fldChar w:fldCharType="begin"/>
        </w:r>
        <w:r w:rsidR="00E22CE6" w:rsidRPr="00E22CE6">
          <w:rPr>
            <w:rFonts w:cs="Tahoma"/>
            <w:noProof/>
            <w:webHidden/>
            <w:szCs w:val="20"/>
          </w:rPr>
          <w:instrText xml:space="preserve"> PAGEREF _Toc161933169 \h </w:instrText>
        </w:r>
        <w:r w:rsidR="00E22CE6" w:rsidRPr="00E22CE6">
          <w:rPr>
            <w:rFonts w:cs="Tahoma"/>
            <w:noProof/>
            <w:webHidden/>
            <w:szCs w:val="20"/>
          </w:rPr>
        </w:r>
        <w:r w:rsidR="00E22CE6" w:rsidRPr="00E22CE6">
          <w:rPr>
            <w:rFonts w:cs="Tahoma"/>
            <w:noProof/>
            <w:webHidden/>
            <w:szCs w:val="20"/>
          </w:rPr>
          <w:fldChar w:fldCharType="separate"/>
        </w:r>
        <w:r w:rsidR="00E873AF">
          <w:rPr>
            <w:rFonts w:cs="Tahoma"/>
            <w:noProof/>
            <w:webHidden/>
            <w:szCs w:val="20"/>
          </w:rPr>
          <w:t>43</w:t>
        </w:r>
        <w:r w:rsidR="00E22CE6" w:rsidRPr="00E22CE6">
          <w:rPr>
            <w:rFonts w:cs="Tahoma"/>
            <w:noProof/>
            <w:webHidden/>
            <w:szCs w:val="20"/>
          </w:rPr>
          <w:fldChar w:fldCharType="end"/>
        </w:r>
      </w:hyperlink>
    </w:p>
    <w:p w14:paraId="4B3F07D5" w14:textId="63E6BA9B" w:rsidR="00E22CE6" w:rsidRPr="00E22CE6" w:rsidRDefault="00000000" w:rsidP="00E22CE6">
      <w:pPr>
        <w:pStyle w:val="Sommario3"/>
        <w:spacing w:before="60" w:after="60" w:line="326" w:lineRule="auto"/>
        <w:rPr>
          <w:rFonts w:eastAsiaTheme="minorEastAsia"/>
          <w:i w:val="0"/>
          <w:kern w:val="2"/>
          <w14:ligatures w14:val="standardContextual"/>
        </w:rPr>
      </w:pPr>
      <w:hyperlink w:anchor="_Toc161933170" w:history="1">
        <w:r w:rsidR="00E22CE6" w:rsidRPr="00E22CE6">
          <w:rPr>
            <w:rStyle w:val="Collegamentoipertestuale"/>
            <w:rFonts w:cs="Tahoma"/>
          </w:rPr>
          <w:t>5.3.1 Principio del netto frontiera</w:t>
        </w:r>
        <w:r w:rsidR="00E22CE6" w:rsidRPr="00E22CE6">
          <w:rPr>
            <w:webHidden/>
          </w:rPr>
          <w:tab/>
        </w:r>
        <w:r w:rsidR="00E22CE6" w:rsidRPr="00E22CE6">
          <w:rPr>
            <w:webHidden/>
          </w:rPr>
          <w:fldChar w:fldCharType="begin"/>
        </w:r>
        <w:r w:rsidR="00E22CE6" w:rsidRPr="00E22CE6">
          <w:rPr>
            <w:webHidden/>
          </w:rPr>
          <w:instrText xml:space="preserve"> PAGEREF _Toc161933170 \h </w:instrText>
        </w:r>
        <w:r w:rsidR="00E22CE6" w:rsidRPr="00E22CE6">
          <w:rPr>
            <w:webHidden/>
          </w:rPr>
        </w:r>
        <w:r w:rsidR="00E22CE6" w:rsidRPr="00E22CE6">
          <w:rPr>
            <w:webHidden/>
          </w:rPr>
          <w:fldChar w:fldCharType="separate"/>
        </w:r>
        <w:r w:rsidR="00E873AF">
          <w:rPr>
            <w:webHidden/>
          </w:rPr>
          <w:t>43</w:t>
        </w:r>
        <w:r w:rsidR="00E22CE6" w:rsidRPr="00E22CE6">
          <w:rPr>
            <w:webHidden/>
          </w:rPr>
          <w:fldChar w:fldCharType="end"/>
        </w:r>
      </w:hyperlink>
    </w:p>
    <w:p w14:paraId="4C1C4953" w14:textId="60FE81B2" w:rsidR="00E22CE6" w:rsidRPr="00E22CE6" w:rsidRDefault="00000000" w:rsidP="00E22CE6">
      <w:pPr>
        <w:pStyle w:val="Sommario3"/>
        <w:spacing w:before="60" w:after="60" w:line="326" w:lineRule="auto"/>
        <w:rPr>
          <w:rFonts w:eastAsiaTheme="minorEastAsia"/>
          <w:i w:val="0"/>
          <w:kern w:val="2"/>
          <w14:ligatures w14:val="standardContextual"/>
        </w:rPr>
      </w:pPr>
      <w:hyperlink w:anchor="_Toc161933171" w:history="1">
        <w:r w:rsidR="00E22CE6" w:rsidRPr="00E22CE6">
          <w:rPr>
            <w:rStyle w:val="Collegamentoipertestuale"/>
            <w:rFonts w:cs="Tahoma"/>
          </w:rPr>
          <w:t>5.3.2 Percezione diretta dei dividendi di fonte estera</w:t>
        </w:r>
        <w:r w:rsidR="00E22CE6" w:rsidRPr="00E22CE6">
          <w:rPr>
            <w:webHidden/>
          </w:rPr>
          <w:tab/>
        </w:r>
        <w:r w:rsidR="00E22CE6" w:rsidRPr="00E22CE6">
          <w:rPr>
            <w:webHidden/>
          </w:rPr>
          <w:fldChar w:fldCharType="begin"/>
        </w:r>
        <w:r w:rsidR="00E22CE6" w:rsidRPr="00E22CE6">
          <w:rPr>
            <w:webHidden/>
          </w:rPr>
          <w:instrText xml:space="preserve"> PAGEREF _Toc161933171 \h </w:instrText>
        </w:r>
        <w:r w:rsidR="00E22CE6" w:rsidRPr="00E22CE6">
          <w:rPr>
            <w:webHidden/>
          </w:rPr>
        </w:r>
        <w:r w:rsidR="00E22CE6" w:rsidRPr="00E22CE6">
          <w:rPr>
            <w:webHidden/>
          </w:rPr>
          <w:fldChar w:fldCharType="separate"/>
        </w:r>
        <w:r w:rsidR="00E873AF">
          <w:rPr>
            <w:webHidden/>
          </w:rPr>
          <w:t>44</w:t>
        </w:r>
        <w:r w:rsidR="00E22CE6" w:rsidRPr="00E22CE6">
          <w:rPr>
            <w:webHidden/>
          </w:rPr>
          <w:fldChar w:fldCharType="end"/>
        </w:r>
      </w:hyperlink>
    </w:p>
    <w:p w14:paraId="7435D1E9" w14:textId="27836315" w:rsidR="00E22CE6" w:rsidRPr="00E22CE6" w:rsidRDefault="00000000" w:rsidP="00E22CE6">
      <w:pPr>
        <w:pStyle w:val="Sommario2"/>
        <w:tabs>
          <w:tab w:val="right" w:leader="dot" w:pos="9202"/>
        </w:tabs>
        <w:spacing w:before="60" w:after="60" w:line="326" w:lineRule="auto"/>
        <w:rPr>
          <w:rFonts w:eastAsiaTheme="minorEastAsia" w:cs="Tahoma"/>
          <w:noProof/>
          <w:kern w:val="2"/>
          <w:szCs w:val="20"/>
          <w14:ligatures w14:val="standardContextual"/>
        </w:rPr>
      </w:pPr>
      <w:hyperlink w:anchor="_Toc161933172" w:history="1">
        <w:r w:rsidR="00E22CE6" w:rsidRPr="00E22CE6">
          <w:rPr>
            <w:rStyle w:val="Collegamentoipertestuale"/>
            <w:rFonts w:cs="Tahoma"/>
            <w:noProof/>
            <w:szCs w:val="20"/>
          </w:rPr>
          <w:t>5.4 Credito per le imposte pagate all’estero</w:t>
        </w:r>
        <w:r w:rsidR="00E22CE6" w:rsidRPr="00E22CE6">
          <w:rPr>
            <w:rFonts w:cs="Tahoma"/>
            <w:noProof/>
            <w:webHidden/>
            <w:szCs w:val="20"/>
          </w:rPr>
          <w:tab/>
        </w:r>
        <w:r w:rsidR="00E22CE6" w:rsidRPr="00E22CE6">
          <w:rPr>
            <w:rFonts w:cs="Tahoma"/>
            <w:noProof/>
            <w:webHidden/>
            <w:szCs w:val="20"/>
          </w:rPr>
          <w:fldChar w:fldCharType="begin"/>
        </w:r>
        <w:r w:rsidR="00E22CE6" w:rsidRPr="00E22CE6">
          <w:rPr>
            <w:rFonts w:cs="Tahoma"/>
            <w:noProof/>
            <w:webHidden/>
            <w:szCs w:val="20"/>
          </w:rPr>
          <w:instrText xml:space="preserve"> PAGEREF _Toc161933172 \h </w:instrText>
        </w:r>
        <w:r w:rsidR="00E22CE6" w:rsidRPr="00E22CE6">
          <w:rPr>
            <w:rFonts w:cs="Tahoma"/>
            <w:noProof/>
            <w:webHidden/>
            <w:szCs w:val="20"/>
          </w:rPr>
        </w:r>
        <w:r w:rsidR="00E22CE6" w:rsidRPr="00E22CE6">
          <w:rPr>
            <w:rFonts w:cs="Tahoma"/>
            <w:noProof/>
            <w:webHidden/>
            <w:szCs w:val="20"/>
          </w:rPr>
          <w:fldChar w:fldCharType="separate"/>
        </w:r>
        <w:r w:rsidR="00E873AF">
          <w:rPr>
            <w:rFonts w:cs="Tahoma"/>
            <w:noProof/>
            <w:webHidden/>
            <w:szCs w:val="20"/>
          </w:rPr>
          <w:t>44</w:t>
        </w:r>
        <w:r w:rsidR="00E22CE6" w:rsidRPr="00E22CE6">
          <w:rPr>
            <w:rFonts w:cs="Tahoma"/>
            <w:noProof/>
            <w:webHidden/>
            <w:szCs w:val="20"/>
          </w:rPr>
          <w:fldChar w:fldCharType="end"/>
        </w:r>
      </w:hyperlink>
    </w:p>
    <w:p w14:paraId="4FC2D2E7" w14:textId="2FC690C5" w:rsidR="00E22CE6" w:rsidRPr="00E22CE6" w:rsidRDefault="00000000" w:rsidP="00E22CE6">
      <w:pPr>
        <w:pStyle w:val="Sommario2"/>
        <w:tabs>
          <w:tab w:val="right" w:leader="dot" w:pos="9202"/>
        </w:tabs>
        <w:spacing w:before="60" w:after="60" w:line="326" w:lineRule="auto"/>
        <w:rPr>
          <w:rFonts w:eastAsiaTheme="minorEastAsia" w:cs="Tahoma"/>
          <w:noProof/>
          <w:kern w:val="2"/>
          <w:szCs w:val="20"/>
          <w14:ligatures w14:val="standardContextual"/>
        </w:rPr>
      </w:pPr>
      <w:hyperlink w:anchor="_Toc161933173" w:history="1">
        <w:r w:rsidR="00E22CE6" w:rsidRPr="00E22CE6">
          <w:rPr>
            <w:rStyle w:val="Collegamentoipertestuale"/>
            <w:rFonts w:cs="Tahoma"/>
            <w:noProof/>
            <w:szCs w:val="20"/>
          </w:rPr>
          <w:t>5.5 Dividendi esteri derivanti da partecipazioni black list</w:t>
        </w:r>
        <w:r w:rsidR="00E22CE6" w:rsidRPr="00E22CE6">
          <w:rPr>
            <w:rFonts w:cs="Tahoma"/>
            <w:noProof/>
            <w:webHidden/>
            <w:szCs w:val="20"/>
          </w:rPr>
          <w:tab/>
        </w:r>
        <w:r w:rsidR="00E22CE6" w:rsidRPr="00E22CE6">
          <w:rPr>
            <w:rFonts w:cs="Tahoma"/>
            <w:noProof/>
            <w:webHidden/>
            <w:szCs w:val="20"/>
          </w:rPr>
          <w:fldChar w:fldCharType="begin"/>
        </w:r>
        <w:r w:rsidR="00E22CE6" w:rsidRPr="00E22CE6">
          <w:rPr>
            <w:rFonts w:cs="Tahoma"/>
            <w:noProof/>
            <w:webHidden/>
            <w:szCs w:val="20"/>
          </w:rPr>
          <w:instrText xml:space="preserve"> PAGEREF _Toc161933173 \h </w:instrText>
        </w:r>
        <w:r w:rsidR="00E22CE6" w:rsidRPr="00E22CE6">
          <w:rPr>
            <w:rFonts w:cs="Tahoma"/>
            <w:noProof/>
            <w:webHidden/>
            <w:szCs w:val="20"/>
          </w:rPr>
        </w:r>
        <w:r w:rsidR="00E22CE6" w:rsidRPr="00E22CE6">
          <w:rPr>
            <w:rFonts w:cs="Tahoma"/>
            <w:noProof/>
            <w:webHidden/>
            <w:szCs w:val="20"/>
          </w:rPr>
          <w:fldChar w:fldCharType="separate"/>
        </w:r>
        <w:r w:rsidR="00E873AF">
          <w:rPr>
            <w:rFonts w:cs="Tahoma"/>
            <w:noProof/>
            <w:webHidden/>
            <w:szCs w:val="20"/>
          </w:rPr>
          <w:t>44</w:t>
        </w:r>
        <w:r w:rsidR="00E22CE6" w:rsidRPr="00E22CE6">
          <w:rPr>
            <w:rFonts w:cs="Tahoma"/>
            <w:noProof/>
            <w:webHidden/>
            <w:szCs w:val="20"/>
          </w:rPr>
          <w:fldChar w:fldCharType="end"/>
        </w:r>
      </w:hyperlink>
    </w:p>
    <w:p w14:paraId="0021BA1E" w14:textId="4FA0F124" w:rsidR="00E22CE6" w:rsidRPr="00E22CE6" w:rsidRDefault="00000000" w:rsidP="00E22CE6">
      <w:pPr>
        <w:pStyle w:val="Sommario3"/>
        <w:spacing w:before="60" w:after="60" w:line="326" w:lineRule="auto"/>
        <w:rPr>
          <w:rFonts w:eastAsiaTheme="minorEastAsia"/>
          <w:i w:val="0"/>
          <w:kern w:val="2"/>
          <w14:ligatures w14:val="standardContextual"/>
        </w:rPr>
      </w:pPr>
      <w:hyperlink w:anchor="_Toc161933174" w:history="1">
        <w:r w:rsidR="00E22CE6" w:rsidRPr="00E22CE6">
          <w:rPr>
            <w:rStyle w:val="Collegamentoipertestuale"/>
            <w:rFonts w:cs="Tahoma"/>
          </w:rPr>
          <w:t>5.5.1 Rilevanza del periodo di maturazione per i dividendi da Paesi black list</w:t>
        </w:r>
        <w:r w:rsidR="00E22CE6" w:rsidRPr="00E22CE6">
          <w:rPr>
            <w:webHidden/>
          </w:rPr>
          <w:tab/>
        </w:r>
        <w:r w:rsidR="00E22CE6" w:rsidRPr="00E22CE6">
          <w:rPr>
            <w:webHidden/>
          </w:rPr>
          <w:fldChar w:fldCharType="begin"/>
        </w:r>
        <w:r w:rsidR="00E22CE6" w:rsidRPr="00E22CE6">
          <w:rPr>
            <w:webHidden/>
          </w:rPr>
          <w:instrText xml:space="preserve"> PAGEREF _Toc161933174 \h </w:instrText>
        </w:r>
        <w:r w:rsidR="00E22CE6" w:rsidRPr="00E22CE6">
          <w:rPr>
            <w:webHidden/>
          </w:rPr>
        </w:r>
        <w:r w:rsidR="00E22CE6" w:rsidRPr="00E22CE6">
          <w:rPr>
            <w:webHidden/>
          </w:rPr>
          <w:fldChar w:fldCharType="separate"/>
        </w:r>
        <w:r w:rsidR="00E873AF">
          <w:rPr>
            <w:webHidden/>
          </w:rPr>
          <w:t>45</w:t>
        </w:r>
        <w:r w:rsidR="00E22CE6" w:rsidRPr="00E22CE6">
          <w:rPr>
            <w:webHidden/>
          </w:rPr>
          <w:fldChar w:fldCharType="end"/>
        </w:r>
      </w:hyperlink>
    </w:p>
    <w:p w14:paraId="28EDCE57" w14:textId="4DCA36F9" w:rsidR="00E22CE6" w:rsidRPr="00E22CE6" w:rsidRDefault="00000000" w:rsidP="00E22CE6">
      <w:pPr>
        <w:pStyle w:val="Sommario3"/>
        <w:spacing w:before="60" w:after="60" w:line="326" w:lineRule="auto"/>
        <w:rPr>
          <w:rFonts w:eastAsiaTheme="minorEastAsia"/>
          <w:i w:val="0"/>
          <w:kern w:val="2"/>
          <w14:ligatures w14:val="standardContextual"/>
        </w:rPr>
      </w:pPr>
      <w:hyperlink w:anchor="_Toc161933175" w:history="1">
        <w:r w:rsidR="00E22CE6" w:rsidRPr="00E22CE6">
          <w:rPr>
            <w:rStyle w:val="Collegamentoipertestuale"/>
            <w:rFonts w:cs="Tahoma"/>
          </w:rPr>
          <w:t>5.5.2 Disapplicazione della tassazione integrale dei dividendi</w:t>
        </w:r>
        <w:r w:rsidR="00E22CE6" w:rsidRPr="00E22CE6">
          <w:rPr>
            <w:webHidden/>
          </w:rPr>
          <w:tab/>
        </w:r>
        <w:r w:rsidR="00E22CE6" w:rsidRPr="00E22CE6">
          <w:rPr>
            <w:webHidden/>
          </w:rPr>
          <w:fldChar w:fldCharType="begin"/>
        </w:r>
        <w:r w:rsidR="00E22CE6" w:rsidRPr="00E22CE6">
          <w:rPr>
            <w:webHidden/>
          </w:rPr>
          <w:instrText xml:space="preserve"> PAGEREF _Toc161933175 \h </w:instrText>
        </w:r>
        <w:r w:rsidR="00E22CE6" w:rsidRPr="00E22CE6">
          <w:rPr>
            <w:webHidden/>
          </w:rPr>
        </w:r>
        <w:r w:rsidR="00E22CE6" w:rsidRPr="00E22CE6">
          <w:rPr>
            <w:webHidden/>
          </w:rPr>
          <w:fldChar w:fldCharType="separate"/>
        </w:r>
        <w:r w:rsidR="00E873AF">
          <w:rPr>
            <w:webHidden/>
          </w:rPr>
          <w:t>46</w:t>
        </w:r>
        <w:r w:rsidR="00E22CE6" w:rsidRPr="00E22CE6">
          <w:rPr>
            <w:webHidden/>
          </w:rPr>
          <w:fldChar w:fldCharType="end"/>
        </w:r>
      </w:hyperlink>
    </w:p>
    <w:p w14:paraId="4611B759" w14:textId="151BE9B3" w:rsidR="00E22CE6" w:rsidRPr="00E22CE6" w:rsidRDefault="00000000" w:rsidP="00E22CE6">
      <w:pPr>
        <w:pStyle w:val="Sommario3"/>
        <w:spacing w:before="60" w:after="60" w:line="326" w:lineRule="auto"/>
        <w:rPr>
          <w:rFonts w:eastAsiaTheme="minorEastAsia"/>
          <w:i w:val="0"/>
          <w:kern w:val="2"/>
          <w14:ligatures w14:val="standardContextual"/>
        </w:rPr>
      </w:pPr>
      <w:hyperlink w:anchor="_Toc161933176" w:history="1">
        <w:r w:rsidR="00E22CE6" w:rsidRPr="00E22CE6">
          <w:rPr>
            <w:rStyle w:val="Collegamentoipertestuale"/>
            <w:rFonts w:cs="Tahoma"/>
          </w:rPr>
          <w:t>5.5.3 Detassazione degli utili provenienti da soggetti a fiscalità privilegiata</w:t>
        </w:r>
        <w:r w:rsidR="00E22CE6" w:rsidRPr="00E22CE6">
          <w:rPr>
            <w:webHidden/>
          </w:rPr>
          <w:tab/>
        </w:r>
        <w:r w:rsidR="00E22CE6" w:rsidRPr="00E22CE6">
          <w:rPr>
            <w:webHidden/>
          </w:rPr>
          <w:fldChar w:fldCharType="begin"/>
        </w:r>
        <w:r w:rsidR="00E22CE6" w:rsidRPr="00E22CE6">
          <w:rPr>
            <w:webHidden/>
          </w:rPr>
          <w:instrText xml:space="preserve"> PAGEREF _Toc161933176 \h </w:instrText>
        </w:r>
        <w:r w:rsidR="00E22CE6" w:rsidRPr="00E22CE6">
          <w:rPr>
            <w:webHidden/>
          </w:rPr>
        </w:r>
        <w:r w:rsidR="00E22CE6" w:rsidRPr="00E22CE6">
          <w:rPr>
            <w:webHidden/>
          </w:rPr>
          <w:fldChar w:fldCharType="separate"/>
        </w:r>
        <w:r w:rsidR="00E873AF">
          <w:rPr>
            <w:webHidden/>
          </w:rPr>
          <w:t>46</w:t>
        </w:r>
        <w:r w:rsidR="00E22CE6" w:rsidRPr="00E22CE6">
          <w:rPr>
            <w:webHidden/>
          </w:rPr>
          <w:fldChar w:fldCharType="end"/>
        </w:r>
      </w:hyperlink>
    </w:p>
    <w:p w14:paraId="30B3AE18" w14:textId="5D09719E" w:rsidR="00E22CE6" w:rsidRPr="00E22CE6" w:rsidRDefault="00000000" w:rsidP="00E22CE6">
      <w:pPr>
        <w:pStyle w:val="Sommario3"/>
        <w:spacing w:before="60" w:after="60" w:line="326" w:lineRule="auto"/>
        <w:rPr>
          <w:rFonts w:eastAsiaTheme="minorEastAsia"/>
          <w:i w:val="0"/>
          <w:kern w:val="2"/>
          <w14:ligatures w14:val="standardContextual"/>
        </w:rPr>
      </w:pPr>
      <w:hyperlink w:anchor="_Toc161933177" w:history="1">
        <w:r w:rsidR="00E22CE6" w:rsidRPr="00E22CE6">
          <w:rPr>
            <w:rStyle w:val="Collegamentoipertestuale"/>
            <w:rFonts w:cs="Tahoma"/>
          </w:rPr>
          <w:t>5.5.4 Dividendi distribuiti da società conduit</w:t>
        </w:r>
        <w:r w:rsidR="00E22CE6" w:rsidRPr="00E22CE6">
          <w:rPr>
            <w:webHidden/>
          </w:rPr>
          <w:tab/>
        </w:r>
        <w:r w:rsidR="00E22CE6" w:rsidRPr="00E22CE6">
          <w:rPr>
            <w:webHidden/>
          </w:rPr>
          <w:fldChar w:fldCharType="begin"/>
        </w:r>
        <w:r w:rsidR="00E22CE6" w:rsidRPr="00E22CE6">
          <w:rPr>
            <w:webHidden/>
          </w:rPr>
          <w:instrText xml:space="preserve"> PAGEREF _Toc161933177 \h </w:instrText>
        </w:r>
        <w:r w:rsidR="00E22CE6" w:rsidRPr="00E22CE6">
          <w:rPr>
            <w:webHidden/>
          </w:rPr>
        </w:r>
        <w:r w:rsidR="00E22CE6" w:rsidRPr="00E22CE6">
          <w:rPr>
            <w:webHidden/>
          </w:rPr>
          <w:fldChar w:fldCharType="separate"/>
        </w:r>
        <w:r w:rsidR="00E873AF">
          <w:rPr>
            <w:webHidden/>
          </w:rPr>
          <w:t>46</w:t>
        </w:r>
        <w:r w:rsidR="00E22CE6" w:rsidRPr="00E22CE6">
          <w:rPr>
            <w:webHidden/>
          </w:rPr>
          <w:fldChar w:fldCharType="end"/>
        </w:r>
      </w:hyperlink>
    </w:p>
    <w:p w14:paraId="782AA39C" w14:textId="39CB1C59" w:rsidR="00E22CE6" w:rsidRPr="00E22CE6" w:rsidRDefault="00000000" w:rsidP="00E22CE6">
      <w:pPr>
        <w:pStyle w:val="Sommario3"/>
        <w:spacing w:before="60" w:after="60" w:line="326" w:lineRule="auto"/>
        <w:rPr>
          <w:rFonts w:eastAsiaTheme="minorEastAsia"/>
          <w:i w:val="0"/>
          <w:kern w:val="2"/>
          <w14:ligatures w14:val="standardContextual"/>
        </w:rPr>
      </w:pPr>
      <w:hyperlink w:anchor="_Toc161933178" w:history="1">
        <w:r w:rsidR="00E22CE6" w:rsidRPr="00E22CE6">
          <w:rPr>
            <w:rStyle w:val="Collegamentoipertestuale"/>
            <w:rFonts w:cs="Tahoma"/>
          </w:rPr>
          <w:t>5.5.5 Distribuzione degli utili da parte della CFC</w:t>
        </w:r>
        <w:r w:rsidR="00E22CE6" w:rsidRPr="00E22CE6">
          <w:rPr>
            <w:webHidden/>
          </w:rPr>
          <w:tab/>
        </w:r>
        <w:r w:rsidR="00E22CE6" w:rsidRPr="00E22CE6">
          <w:rPr>
            <w:webHidden/>
          </w:rPr>
          <w:fldChar w:fldCharType="begin"/>
        </w:r>
        <w:r w:rsidR="00E22CE6" w:rsidRPr="00E22CE6">
          <w:rPr>
            <w:webHidden/>
          </w:rPr>
          <w:instrText xml:space="preserve"> PAGEREF _Toc161933178 \h </w:instrText>
        </w:r>
        <w:r w:rsidR="00E22CE6" w:rsidRPr="00E22CE6">
          <w:rPr>
            <w:webHidden/>
          </w:rPr>
        </w:r>
        <w:r w:rsidR="00E22CE6" w:rsidRPr="00E22CE6">
          <w:rPr>
            <w:webHidden/>
          </w:rPr>
          <w:fldChar w:fldCharType="separate"/>
        </w:r>
        <w:r w:rsidR="00E873AF">
          <w:rPr>
            <w:webHidden/>
          </w:rPr>
          <w:t>47</w:t>
        </w:r>
        <w:r w:rsidR="00E22CE6" w:rsidRPr="00E22CE6">
          <w:rPr>
            <w:webHidden/>
          </w:rPr>
          <w:fldChar w:fldCharType="end"/>
        </w:r>
      </w:hyperlink>
    </w:p>
    <w:p w14:paraId="16D39029" w14:textId="0BF63707" w:rsidR="00E22CE6" w:rsidRPr="00E22CE6" w:rsidRDefault="00000000" w:rsidP="00E22CE6">
      <w:pPr>
        <w:pStyle w:val="Sommario3"/>
        <w:spacing w:before="60" w:after="60" w:line="326" w:lineRule="auto"/>
        <w:rPr>
          <w:rFonts w:eastAsiaTheme="minorEastAsia"/>
          <w:i w:val="0"/>
          <w:kern w:val="2"/>
          <w14:ligatures w14:val="standardContextual"/>
        </w:rPr>
      </w:pPr>
      <w:hyperlink w:anchor="_Toc161933179" w:history="1">
        <w:r w:rsidR="00E22CE6" w:rsidRPr="00E22CE6">
          <w:rPr>
            <w:rStyle w:val="Collegamentoipertestuale"/>
            <w:rFonts w:cs="Tahoma"/>
          </w:rPr>
          <w:t>5.5.6 Affrancamento degli utili delle partecipate a regime privilegiato</w:t>
        </w:r>
        <w:r w:rsidR="00E22CE6" w:rsidRPr="00E22CE6">
          <w:rPr>
            <w:webHidden/>
          </w:rPr>
          <w:tab/>
        </w:r>
        <w:r w:rsidR="00E22CE6" w:rsidRPr="00E22CE6">
          <w:rPr>
            <w:webHidden/>
          </w:rPr>
          <w:fldChar w:fldCharType="begin"/>
        </w:r>
        <w:r w:rsidR="00E22CE6" w:rsidRPr="00E22CE6">
          <w:rPr>
            <w:webHidden/>
          </w:rPr>
          <w:instrText xml:space="preserve"> PAGEREF _Toc161933179 \h </w:instrText>
        </w:r>
        <w:r w:rsidR="00E22CE6" w:rsidRPr="00E22CE6">
          <w:rPr>
            <w:webHidden/>
          </w:rPr>
        </w:r>
        <w:r w:rsidR="00E22CE6" w:rsidRPr="00E22CE6">
          <w:rPr>
            <w:webHidden/>
          </w:rPr>
          <w:fldChar w:fldCharType="separate"/>
        </w:r>
        <w:r w:rsidR="00E873AF">
          <w:rPr>
            <w:webHidden/>
          </w:rPr>
          <w:t>47</w:t>
        </w:r>
        <w:r w:rsidR="00E22CE6" w:rsidRPr="00E22CE6">
          <w:rPr>
            <w:webHidden/>
          </w:rPr>
          <w:fldChar w:fldCharType="end"/>
        </w:r>
      </w:hyperlink>
    </w:p>
    <w:p w14:paraId="4D4E2B5E" w14:textId="2BC39426" w:rsidR="00E22CE6" w:rsidRPr="00E22CE6" w:rsidRDefault="00000000" w:rsidP="00E22CE6">
      <w:pPr>
        <w:pStyle w:val="Sommario2"/>
        <w:tabs>
          <w:tab w:val="right" w:leader="dot" w:pos="9202"/>
        </w:tabs>
        <w:spacing w:before="60" w:after="60" w:line="326" w:lineRule="auto"/>
        <w:rPr>
          <w:rFonts w:eastAsiaTheme="minorEastAsia" w:cs="Tahoma"/>
          <w:noProof/>
          <w:kern w:val="2"/>
          <w:szCs w:val="20"/>
          <w14:ligatures w14:val="standardContextual"/>
        </w:rPr>
      </w:pPr>
      <w:hyperlink w:anchor="_Toc161933180" w:history="1">
        <w:r w:rsidR="00E22CE6" w:rsidRPr="00E22CE6">
          <w:rPr>
            <w:rStyle w:val="Collegamentoipertestuale"/>
            <w:rFonts w:cs="Tahoma"/>
            <w:noProof/>
            <w:szCs w:val="20"/>
          </w:rPr>
          <w:t>5.6 Indicazione in dichiarazione</w:t>
        </w:r>
        <w:r w:rsidR="00E22CE6" w:rsidRPr="00E22CE6">
          <w:rPr>
            <w:rFonts w:cs="Tahoma"/>
            <w:noProof/>
            <w:webHidden/>
            <w:szCs w:val="20"/>
          </w:rPr>
          <w:tab/>
        </w:r>
        <w:r w:rsidR="00E22CE6" w:rsidRPr="00E22CE6">
          <w:rPr>
            <w:rFonts w:cs="Tahoma"/>
            <w:noProof/>
            <w:webHidden/>
            <w:szCs w:val="20"/>
          </w:rPr>
          <w:fldChar w:fldCharType="begin"/>
        </w:r>
        <w:r w:rsidR="00E22CE6" w:rsidRPr="00E22CE6">
          <w:rPr>
            <w:rFonts w:cs="Tahoma"/>
            <w:noProof/>
            <w:webHidden/>
            <w:szCs w:val="20"/>
          </w:rPr>
          <w:instrText xml:space="preserve"> PAGEREF _Toc161933180 \h </w:instrText>
        </w:r>
        <w:r w:rsidR="00E22CE6" w:rsidRPr="00E22CE6">
          <w:rPr>
            <w:rFonts w:cs="Tahoma"/>
            <w:noProof/>
            <w:webHidden/>
            <w:szCs w:val="20"/>
          </w:rPr>
        </w:r>
        <w:r w:rsidR="00E22CE6" w:rsidRPr="00E22CE6">
          <w:rPr>
            <w:rFonts w:cs="Tahoma"/>
            <w:noProof/>
            <w:webHidden/>
            <w:szCs w:val="20"/>
          </w:rPr>
          <w:fldChar w:fldCharType="separate"/>
        </w:r>
        <w:r w:rsidR="00E873AF">
          <w:rPr>
            <w:rFonts w:cs="Tahoma"/>
            <w:noProof/>
            <w:webHidden/>
            <w:szCs w:val="20"/>
          </w:rPr>
          <w:t>48</w:t>
        </w:r>
        <w:r w:rsidR="00E22CE6" w:rsidRPr="00E22CE6">
          <w:rPr>
            <w:rFonts w:cs="Tahoma"/>
            <w:noProof/>
            <w:webHidden/>
            <w:szCs w:val="20"/>
          </w:rPr>
          <w:fldChar w:fldCharType="end"/>
        </w:r>
      </w:hyperlink>
    </w:p>
    <w:p w14:paraId="4AE29103" w14:textId="5A6EEB9E" w:rsidR="00E22CE6" w:rsidRPr="00E22CE6" w:rsidRDefault="00000000" w:rsidP="00E22CE6">
      <w:pPr>
        <w:pStyle w:val="Sommario3"/>
        <w:spacing w:before="60" w:after="60" w:line="326" w:lineRule="auto"/>
        <w:rPr>
          <w:rFonts w:eastAsiaTheme="minorEastAsia"/>
          <w:i w:val="0"/>
          <w:kern w:val="2"/>
          <w14:ligatures w14:val="standardContextual"/>
        </w:rPr>
      </w:pPr>
      <w:hyperlink w:anchor="_Toc161933181" w:history="1">
        <w:r w:rsidR="00E22CE6" w:rsidRPr="00E22CE6">
          <w:rPr>
            <w:rStyle w:val="Collegamentoipertestuale"/>
            <w:rFonts w:cs="Tahoma"/>
          </w:rPr>
          <w:t>5.6.1 Dividendo da Stato a fiscalità ordinaria</w:t>
        </w:r>
        <w:r w:rsidR="00E22CE6" w:rsidRPr="00E22CE6">
          <w:rPr>
            <w:webHidden/>
          </w:rPr>
          <w:tab/>
        </w:r>
        <w:r w:rsidR="00E22CE6" w:rsidRPr="00E22CE6">
          <w:rPr>
            <w:webHidden/>
          </w:rPr>
          <w:fldChar w:fldCharType="begin"/>
        </w:r>
        <w:r w:rsidR="00E22CE6" w:rsidRPr="00E22CE6">
          <w:rPr>
            <w:webHidden/>
          </w:rPr>
          <w:instrText xml:space="preserve"> PAGEREF _Toc161933181 \h </w:instrText>
        </w:r>
        <w:r w:rsidR="00E22CE6" w:rsidRPr="00E22CE6">
          <w:rPr>
            <w:webHidden/>
          </w:rPr>
        </w:r>
        <w:r w:rsidR="00E22CE6" w:rsidRPr="00E22CE6">
          <w:rPr>
            <w:webHidden/>
          </w:rPr>
          <w:fldChar w:fldCharType="separate"/>
        </w:r>
        <w:r w:rsidR="00E873AF">
          <w:rPr>
            <w:webHidden/>
          </w:rPr>
          <w:t>48</w:t>
        </w:r>
        <w:r w:rsidR="00E22CE6" w:rsidRPr="00E22CE6">
          <w:rPr>
            <w:webHidden/>
          </w:rPr>
          <w:fldChar w:fldCharType="end"/>
        </w:r>
      </w:hyperlink>
    </w:p>
    <w:p w14:paraId="70E1EE16" w14:textId="1F1CAB43" w:rsidR="00E22CE6" w:rsidRPr="00E22CE6" w:rsidRDefault="00000000" w:rsidP="00E22CE6">
      <w:pPr>
        <w:pStyle w:val="Sommario3"/>
        <w:spacing w:before="60" w:after="60" w:line="326" w:lineRule="auto"/>
        <w:rPr>
          <w:rFonts w:eastAsiaTheme="minorEastAsia"/>
          <w:i w:val="0"/>
          <w:kern w:val="2"/>
          <w14:ligatures w14:val="standardContextual"/>
        </w:rPr>
      </w:pPr>
      <w:hyperlink w:anchor="_Toc161933182" w:history="1">
        <w:r w:rsidR="00E22CE6" w:rsidRPr="00E22CE6">
          <w:rPr>
            <w:rStyle w:val="Collegamentoipertestuale"/>
            <w:rFonts w:cs="Tahoma"/>
          </w:rPr>
          <w:t>5.6.2 Dividendo percepito direttamente all’estero</w:t>
        </w:r>
        <w:r w:rsidR="00E22CE6" w:rsidRPr="00E22CE6">
          <w:rPr>
            <w:webHidden/>
          </w:rPr>
          <w:tab/>
        </w:r>
        <w:r w:rsidR="00E22CE6" w:rsidRPr="00E22CE6">
          <w:rPr>
            <w:webHidden/>
          </w:rPr>
          <w:fldChar w:fldCharType="begin"/>
        </w:r>
        <w:r w:rsidR="00E22CE6" w:rsidRPr="00E22CE6">
          <w:rPr>
            <w:webHidden/>
          </w:rPr>
          <w:instrText xml:space="preserve"> PAGEREF _Toc161933182 \h </w:instrText>
        </w:r>
        <w:r w:rsidR="00E22CE6" w:rsidRPr="00E22CE6">
          <w:rPr>
            <w:webHidden/>
          </w:rPr>
        </w:r>
        <w:r w:rsidR="00E22CE6" w:rsidRPr="00E22CE6">
          <w:rPr>
            <w:webHidden/>
          </w:rPr>
          <w:fldChar w:fldCharType="separate"/>
        </w:r>
        <w:r w:rsidR="00E873AF">
          <w:rPr>
            <w:webHidden/>
          </w:rPr>
          <w:t>49</w:t>
        </w:r>
        <w:r w:rsidR="00E22CE6" w:rsidRPr="00E22CE6">
          <w:rPr>
            <w:webHidden/>
          </w:rPr>
          <w:fldChar w:fldCharType="end"/>
        </w:r>
      </w:hyperlink>
    </w:p>
    <w:p w14:paraId="2677C591" w14:textId="0290E952" w:rsidR="00E22CE6" w:rsidRPr="00E22CE6" w:rsidRDefault="00000000" w:rsidP="00E22CE6">
      <w:pPr>
        <w:pStyle w:val="Sommario1"/>
        <w:rPr>
          <w:rFonts w:eastAsiaTheme="minorEastAsia"/>
          <w:b w:val="0"/>
          <w:kern w:val="2"/>
          <w14:ligatures w14:val="standardContextual"/>
        </w:rPr>
      </w:pPr>
      <w:hyperlink w:anchor="_Toc161933183" w:history="1">
        <w:r w:rsidR="00E22CE6" w:rsidRPr="00E22CE6">
          <w:rPr>
            <w:rStyle w:val="Collegamentoipertestuale"/>
            <w:rFonts w:cs="Tahoma"/>
          </w:rPr>
          <w:t>6. Gli interessi e altri redditi di capitale</w:t>
        </w:r>
        <w:r w:rsidR="00E22CE6" w:rsidRPr="00E22CE6">
          <w:rPr>
            <w:webHidden/>
          </w:rPr>
          <w:tab/>
        </w:r>
        <w:r w:rsidR="00E22CE6" w:rsidRPr="00E22CE6">
          <w:rPr>
            <w:webHidden/>
          </w:rPr>
          <w:fldChar w:fldCharType="begin"/>
        </w:r>
        <w:r w:rsidR="00E22CE6" w:rsidRPr="00E22CE6">
          <w:rPr>
            <w:webHidden/>
          </w:rPr>
          <w:instrText xml:space="preserve"> PAGEREF _Toc161933183 \h </w:instrText>
        </w:r>
        <w:r w:rsidR="00E22CE6" w:rsidRPr="00E22CE6">
          <w:rPr>
            <w:webHidden/>
          </w:rPr>
        </w:r>
        <w:r w:rsidR="00E22CE6" w:rsidRPr="00E22CE6">
          <w:rPr>
            <w:webHidden/>
          </w:rPr>
          <w:fldChar w:fldCharType="separate"/>
        </w:r>
        <w:r w:rsidR="00E873AF">
          <w:rPr>
            <w:webHidden/>
          </w:rPr>
          <w:t>51</w:t>
        </w:r>
        <w:r w:rsidR="00E22CE6" w:rsidRPr="00E22CE6">
          <w:rPr>
            <w:webHidden/>
          </w:rPr>
          <w:fldChar w:fldCharType="end"/>
        </w:r>
      </w:hyperlink>
    </w:p>
    <w:p w14:paraId="5BE32404" w14:textId="009E8FB5" w:rsidR="00E22CE6" w:rsidRPr="00E22CE6" w:rsidRDefault="00000000" w:rsidP="00E22CE6">
      <w:pPr>
        <w:pStyle w:val="Sommario2"/>
        <w:tabs>
          <w:tab w:val="right" w:leader="dot" w:pos="9202"/>
        </w:tabs>
        <w:spacing w:before="60" w:after="60" w:line="326" w:lineRule="auto"/>
        <w:rPr>
          <w:rFonts w:eastAsiaTheme="minorEastAsia" w:cs="Tahoma"/>
          <w:noProof/>
          <w:kern w:val="2"/>
          <w:szCs w:val="20"/>
          <w14:ligatures w14:val="standardContextual"/>
        </w:rPr>
      </w:pPr>
      <w:hyperlink w:anchor="_Toc161933184" w:history="1">
        <w:r w:rsidR="00E22CE6" w:rsidRPr="00E22CE6">
          <w:rPr>
            <w:rStyle w:val="Collegamentoipertestuale"/>
            <w:rFonts w:cs="Tahoma"/>
            <w:noProof/>
            <w:szCs w:val="20"/>
          </w:rPr>
          <w:t>6.1 Imposizione sui redditi di fonte estera</w:t>
        </w:r>
        <w:r w:rsidR="00E22CE6" w:rsidRPr="00E22CE6">
          <w:rPr>
            <w:rFonts w:cs="Tahoma"/>
            <w:noProof/>
            <w:webHidden/>
            <w:szCs w:val="20"/>
          </w:rPr>
          <w:tab/>
        </w:r>
        <w:r w:rsidR="00E22CE6" w:rsidRPr="00E22CE6">
          <w:rPr>
            <w:rFonts w:cs="Tahoma"/>
            <w:noProof/>
            <w:webHidden/>
            <w:szCs w:val="20"/>
          </w:rPr>
          <w:fldChar w:fldCharType="begin"/>
        </w:r>
        <w:r w:rsidR="00E22CE6" w:rsidRPr="00E22CE6">
          <w:rPr>
            <w:rFonts w:cs="Tahoma"/>
            <w:noProof/>
            <w:webHidden/>
            <w:szCs w:val="20"/>
          </w:rPr>
          <w:instrText xml:space="preserve"> PAGEREF _Toc161933184 \h </w:instrText>
        </w:r>
        <w:r w:rsidR="00E22CE6" w:rsidRPr="00E22CE6">
          <w:rPr>
            <w:rFonts w:cs="Tahoma"/>
            <w:noProof/>
            <w:webHidden/>
            <w:szCs w:val="20"/>
          </w:rPr>
        </w:r>
        <w:r w:rsidR="00E22CE6" w:rsidRPr="00E22CE6">
          <w:rPr>
            <w:rFonts w:cs="Tahoma"/>
            <w:noProof/>
            <w:webHidden/>
            <w:szCs w:val="20"/>
          </w:rPr>
          <w:fldChar w:fldCharType="separate"/>
        </w:r>
        <w:r w:rsidR="00E873AF">
          <w:rPr>
            <w:rFonts w:cs="Tahoma"/>
            <w:noProof/>
            <w:webHidden/>
            <w:szCs w:val="20"/>
          </w:rPr>
          <w:t>51</w:t>
        </w:r>
        <w:r w:rsidR="00E22CE6" w:rsidRPr="00E22CE6">
          <w:rPr>
            <w:rFonts w:cs="Tahoma"/>
            <w:noProof/>
            <w:webHidden/>
            <w:szCs w:val="20"/>
          </w:rPr>
          <w:fldChar w:fldCharType="end"/>
        </w:r>
      </w:hyperlink>
    </w:p>
    <w:p w14:paraId="33E98D36" w14:textId="1F49571E" w:rsidR="00E22CE6" w:rsidRPr="00E22CE6" w:rsidRDefault="00000000" w:rsidP="00E22CE6">
      <w:pPr>
        <w:pStyle w:val="Sommario2"/>
        <w:tabs>
          <w:tab w:val="right" w:leader="dot" w:pos="9202"/>
        </w:tabs>
        <w:spacing w:before="60" w:after="60" w:line="326" w:lineRule="auto"/>
        <w:rPr>
          <w:rFonts w:eastAsiaTheme="minorEastAsia" w:cs="Tahoma"/>
          <w:noProof/>
          <w:kern w:val="2"/>
          <w:szCs w:val="20"/>
          <w14:ligatures w14:val="standardContextual"/>
        </w:rPr>
      </w:pPr>
      <w:hyperlink w:anchor="_Toc161933185" w:history="1">
        <w:r w:rsidR="00E22CE6" w:rsidRPr="00E22CE6">
          <w:rPr>
            <w:rStyle w:val="Collegamentoipertestuale"/>
            <w:rFonts w:cs="Tahoma"/>
            <w:noProof/>
            <w:szCs w:val="20"/>
          </w:rPr>
          <w:t>6.2 Credito per le imposte pagate all’estero</w:t>
        </w:r>
        <w:r w:rsidR="00E22CE6" w:rsidRPr="00E22CE6">
          <w:rPr>
            <w:rFonts w:cs="Tahoma"/>
            <w:noProof/>
            <w:webHidden/>
            <w:szCs w:val="20"/>
          </w:rPr>
          <w:tab/>
        </w:r>
        <w:r w:rsidR="00E22CE6" w:rsidRPr="00E22CE6">
          <w:rPr>
            <w:rFonts w:cs="Tahoma"/>
            <w:noProof/>
            <w:webHidden/>
            <w:szCs w:val="20"/>
          </w:rPr>
          <w:fldChar w:fldCharType="begin"/>
        </w:r>
        <w:r w:rsidR="00E22CE6" w:rsidRPr="00E22CE6">
          <w:rPr>
            <w:rFonts w:cs="Tahoma"/>
            <w:noProof/>
            <w:webHidden/>
            <w:szCs w:val="20"/>
          </w:rPr>
          <w:instrText xml:space="preserve"> PAGEREF _Toc161933185 \h </w:instrText>
        </w:r>
        <w:r w:rsidR="00E22CE6" w:rsidRPr="00E22CE6">
          <w:rPr>
            <w:rFonts w:cs="Tahoma"/>
            <w:noProof/>
            <w:webHidden/>
            <w:szCs w:val="20"/>
          </w:rPr>
        </w:r>
        <w:r w:rsidR="00E22CE6" w:rsidRPr="00E22CE6">
          <w:rPr>
            <w:rFonts w:cs="Tahoma"/>
            <w:noProof/>
            <w:webHidden/>
            <w:szCs w:val="20"/>
          </w:rPr>
          <w:fldChar w:fldCharType="separate"/>
        </w:r>
        <w:r w:rsidR="00E873AF">
          <w:rPr>
            <w:rFonts w:cs="Tahoma"/>
            <w:noProof/>
            <w:webHidden/>
            <w:szCs w:val="20"/>
          </w:rPr>
          <w:t>52</w:t>
        </w:r>
        <w:r w:rsidR="00E22CE6" w:rsidRPr="00E22CE6">
          <w:rPr>
            <w:rFonts w:cs="Tahoma"/>
            <w:noProof/>
            <w:webHidden/>
            <w:szCs w:val="20"/>
          </w:rPr>
          <w:fldChar w:fldCharType="end"/>
        </w:r>
      </w:hyperlink>
    </w:p>
    <w:p w14:paraId="21DB2FB4" w14:textId="1D238736" w:rsidR="00E22CE6" w:rsidRPr="00E22CE6" w:rsidRDefault="00000000" w:rsidP="00E22CE6">
      <w:pPr>
        <w:pStyle w:val="Sommario2"/>
        <w:tabs>
          <w:tab w:val="right" w:leader="dot" w:pos="9202"/>
        </w:tabs>
        <w:spacing w:before="60" w:after="60" w:line="326" w:lineRule="auto"/>
        <w:rPr>
          <w:rFonts w:eastAsiaTheme="minorEastAsia" w:cs="Tahoma"/>
          <w:noProof/>
          <w:kern w:val="2"/>
          <w:szCs w:val="20"/>
          <w14:ligatures w14:val="standardContextual"/>
        </w:rPr>
      </w:pPr>
      <w:hyperlink w:anchor="_Toc161933186" w:history="1">
        <w:r w:rsidR="00E22CE6" w:rsidRPr="00E22CE6">
          <w:rPr>
            <w:rStyle w:val="Collegamentoipertestuale"/>
            <w:rFonts w:cs="Tahoma"/>
            <w:noProof/>
            <w:szCs w:val="20"/>
          </w:rPr>
          <w:t>6.3 Convenzioni contro le doppie imposizioni</w:t>
        </w:r>
        <w:r w:rsidR="00E22CE6" w:rsidRPr="00E22CE6">
          <w:rPr>
            <w:rFonts w:cs="Tahoma"/>
            <w:noProof/>
            <w:webHidden/>
            <w:szCs w:val="20"/>
          </w:rPr>
          <w:tab/>
        </w:r>
        <w:r w:rsidR="00E22CE6" w:rsidRPr="00E22CE6">
          <w:rPr>
            <w:rFonts w:cs="Tahoma"/>
            <w:noProof/>
            <w:webHidden/>
            <w:szCs w:val="20"/>
          </w:rPr>
          <w:fldChar w:fldCharType="begin"/>
        </w:r>
        <w:r w:rsidR="00E22CE6" w:rsidRPr="00E22CE6">
          <w:rPr>
            <w:rFonts w:cs="Tahoma"/>
            <w:noProof/>
            <w:webHidden/>
            <w:szCs w:val="20"/>
          </w:rPr>
          <w:instrText xml:space="preserve"> PAGEREF _Toc161933186 \h </w:instrText>
        </w:r>
        <w:r w:rsidR="00E22CE6" w:rsidRPr="00E22CE6">
          <w:rPr>
            <w:rFonts w:cs="Tahoma"/>
            <w:noProof/>
            <w:webHidden/>
            <w:szCs w:val="20"/>
          </w:rPr>
        </w:r>
        <w:r w:rsidR="00E22CE6" w:rsidRPr="00E22CE6">
          <w:rPr>
            <w:rFonts w:cs="Tahoma"/>
            <w:noProof/>
            <w:webHidden/>
            <w:szCs w:val="20"/>
          </w:rPr>
          <w:fldChar w:fldCharType="separate"/>
        </w:r>
        <w:r w:rsidR="00E873AF">
          <w:rPr>
            <w:rFonts w:cs="Tahoma"/>
            <w:noProof/>
            <w:webHidden/>
            <w:szCs w:val="20"/>
          </w:rPr>
          <w:t>53</w:t>
        </w:r>
        <w:r w:rsidR="00E22CE6" w:rsidRPr="00E22CE6">
          <w:rPr>
            <w:rFonts w:cs="Tahoma"/>
            <w:noProof/>
            <w:webHidden/>
            <w:szCs w:val="20"/>
          </w:rPr>
          <w:fldChar w:fldCharType="end"/>
        </w:r>
      </w:hyperlink>
    </w:p>
    <w:p w14:paraId="70C1D31F" w14:textId="607A9869" w:rsidR="00E22CE6" w:rsidRPr="00E22CE6" w:rsidRDefault="00000000" w:rsidP="00E22CE6">
      <w:pPr>
        <w:pStyle w:val="Sommario2"/>
        <w:tabs>
          <w:tab w:val="right" w:leader="dot" w:pos="9202"/>
        </w:tabs>
        <w:spacing w:before="60" w:after="60" w:line="326" w:lineRule="auto"/>
        <w:rPr>
          <w:rFonts w:eastAsiaTheme="minorEastAsia" w:cs="Tahoma"/>
          <w:noProof/>
          <w:kern w:val="2"/>
          <w:szCs w:val="20"/>
          <w14:ligatures w14:val="standardContextual"/>
        </w:rPr>
      </w:pPr>
      <w:hyperlink w:anchor="_Toc161933187" w:history="1">
        <w:r w:rsidR="00E22CE6" w:rsidRPr="00E22CE6">
          <w:rPr>
            <w:rStyle w:val="Collegamentoipertestuale"/>
            <w:rFonts w:cs="Tahoma"/>
            <w:noProof/>
            <w:szCs w:val="20"/>
          </w:rPr>
          <w:t>6.4 Indicazione in dichiarazione</w:t>
        </w:r>
        <w:r w:rsidR="00E22CE6" w:rsidRPr="00E22CE6">
          <w:rPr>
            <w:rFonts w:cs="Tahoma"/>
            <w:noProof/>
            <w:webHidden/>
            <w:szCs w:val="20"/>
          </w:rPr>
          <w:tab/>
        </w:r>
        <w:r w:rsidR="00E22CE6" w:rsidRPr="00E22CE6">
          <w:rPr>
            <w:rFonts w:cs="Tahoma"/>
            <w:noProof/>
            <w:webHidden/>
            <w:szCs w:val="20"/>
          </w:rPr>
          <w:fldChar w:fldCharType="begin"/>
        </w:r>
        <w:r w:rsidR="00E22CE6" w:rsidRPr="00E22CE6">
          <w:rPr>
            <w:rFonts w:cs="Tahoma"/>
            <w:noProof/>
            <w:webHidden/>
            <w:szCs w:val="20"/>
          </w:rPr>
          <w:instrText xml:space="preserve"> PAGEREF _Toc161933187 \h </w:instrText>
        </w:r>
        <w:r w:rsidR="00E22CE6" w:rsidRPr="00E22CE6">
          <w:rPr>
            <w:rFonts w:cs="Tahoma"/>
            <w:noProof/>
            <w:webHidden/>
            <w:szCs w:val="20"/>
          </w:rPr>
        </w:r>
        <w:r w:rsidR="00E22CE6" w:rsidRPr="00E22CE6">
          <w:rPr>
            <w:rFonts w:cs="Tahoma"/>
            <w:noProof/>
            <w:webHidden/>
            <w:szCs w:val="20"/>
          </w:rPr>
          <w:fldChar w:fldCharType="separate"/>
        </w:r>
        <w:r w:rsidR="00E873AF">
          <w:rPr>
            <w:rFonts w:cs="Tahoma"/>
            <w:noProof/>
            <w:webHidden/>
            <w:szCs w:val="20"/>
          </w:rPr>
          <w:t>53</w:t>
        </w:r>
        <w:r w:rsidR="00E22CE6" w:rsidRPr="00E22CE6">
          <w:rPr>
            <w:rFonts w:cs="Tahoma"/>
            <w:noProof/>
            <w:webHidden/>
            <w:szCs w:val="20"/>
          </w:rPr>
          <w:fldChar w:fldCharType="end"/>
        </w:r>
      </w:hyperlink>
    </w:p>
    <w:p w14:paraId="56CD3815" w14:textId="5DF5452A" w:rsidR="00E22CE6" w:rsidRPr="00E22CE6" w:rsidRDefault="00000000" w:rsidP="00E22CE6">
      <w:pPr>
        <w:pStyle w:val="Sommario3"/>
        <w:spacing w:before="60" w:after="60" w:line="326" w:lineRule="auto"/>
        <w:rPr>
          <w:rFonts w:eastAsiaTheme="minorEastAsia"/>
          <w:i w:val="0"/>
          <w:kern w:val="2"/>
          <w14:ligatures w14:val="standardContextual"/>
        </w:rPr>
      </w:pPr>
      <w:hyperlink w:anchor="_Toc161933188" w:history="1">
        <w:r w:rsidR="00E22CE6" w:rsidRPr="00E22CE6">
          <w:rPr>
            <w:rStyle w:val="Collegamentoipertestuale"/>
            <w:rFonts w:cs="Tahoma"/>
          </w:rPr>
          <w:t>6.4.1 Interessi di conto corrente</w:t>
        </w:r>
        <w:r w:rsidR="00E22CE6" w:rsidRPr="00E22CE6">
          <w:rPr>
            <w:webHidden/>
          </w:rPr>
          <w:tab/>
        </w:r>
        <w:r w:rsidR="00E22CE6" w:rsidRPr="00E22CE6">
          <w:rPr>
            <w:webHidden/>
          </w:rPr>
          <w:fldChar w:fldCharType="begin"/>
        </w:r>
        <w:r w:rsidR="00E22CE6" w:rsidRPr="00E22CE6">
          <w:rPr>
            <w:webHidden/>
          </w:rPr>
          <w:instrText xml:space="preserve"> PAGEREF _Toc161933188 \h </w:instrText>
        </w:r>
        <w:r w:rsidR="00E22CE6" w:rsidRPr="00E22CE6">
          <w:rPr>
            <w:webHidden/>
          </w:rPr>
        </w:r>
        <w:r w:rsidR="00E22CE6" w:rsidRPr="00E22CE6">
          <w:rPr>
            <w:webHidden/>
          </w:rPr>
          <w:fldChar w:fldCharType="separate"/>
        </w:r>
        <w:r w:rsidR="00E873AF">
          <w:rPr>
            <w:webHidden/>
          </w:rPr>
          <w:t>54</w:t>
        </w:r>
        <w:r w:rsidR="00E22CE6" w:rsidRPr="00E22CE6">
          <w:rPr>
            <w:webHidden/>
          </w:rPr>
          <w:fldChar w:fldCharType="end"/>
        </w:r>
      </w:hyperlink>
    </w:p>
    <w:p w14:paraId="19ED6628" w14:textId="1FB90FB8" w:rsidR="00E22CE6" w:rsidRPr="00E22CE6" w:rsidRDefault="00000000" w:rsidP="00E22CE6">
      <w:pPr>
        <w:pStyle w:val="Sommario3"/>
        <w:spacing w:before="60" w:after="60" w:line="326" w:lineRule="auto"/>
        <w:rPr>
          <w:rFonts w:eastAsiaTheme="minorEastAsia"/>
          <w:i w:val="0"/>
          <w:kern w:val="2"/>
          <w14:ligatures w14:val="standardContextual"/>
        </w:rPr>
      </w:pPr>
      <w:hyperlink w:anchor="_Toc161933189" w:history="1">
        <w:r w:rsidR="00E22CE6" w:rsidRPr="00E22CE6">
          <w:rPr>
            <w:rStyle w:val="Collegamentoipertestuale"/>
            <w:rFonts w:cs="Tahoma"/>
          </w:rPr>
          <w:t>6.4.2 Obbligazioni estere</w:t>
        </w:r>
        <w:r w:rsidR="00E22CE6" w:rsidRPr="00E22CE6">
          <w:rPr>
            <w:webHidden/>
          </w:rPr>
          <w:tab/>
        </w:r>
        <w:r w:rsidR="00E22CE6" w:rsidRPr="00E22CE6">
          <w:rPr>
            <w:webHidden/>
          </w:rPr>
          <w:fldChar w:fldCharType="begin"/>
        </w:r>
        <w:r w:rsidR="00E22CE6" w:rsidRPr="00E22CE6">
          <w:rPr>
            <w:webHidden/>
          </w:rPr>
          <w:instrText xml:space="preserve"> PAGEREF _Toc161933189 \h </w:instrText>
        </w:r>
        <w:r w:rsidR="00E22CE6" w:rsidRPr="00E22CE6">
          <w:rPr>
            <w:webHidden/>
          </w:rPr>
        </w:r>
        <w:r w:rsidR="00E22CE6" w:rsidRPr="00E22CE6">
          <w:rPr>
            <w:webHidden/>
          </w:rPr>
          <w:fldChar w:fldCharType="separate"/>
        </w:r>
        <w:r w:rsidR="00E873AF">
          <w:rPr>
            <w:webHidden/>
          </w:rPr>
          <w:t>54</w:t>
        </w:r>
        <w:r w:rsidR="00E22CE6" w:rsidRPr="00E22CE6">
          <w:rPr>
            <w:webHidden/>
          </w:rPr>
          <w:fldChar w:fldCharType="end"/>
        </w:r>
      </w:hyperlink>
    </w:p>
    <w:p w14:paraId="4374CEEB" w14:textId="2DAF02C1" w:rsidR="00E22CE6" w:rsidRPr="00E22CE6" w:rsidRDefault="00000000" w:rsidP="00E22CE6">
      <w:pPr>
        <w:pStyle w:val="Sommario1"/>
        <w:rPr>
          <w:rFonts w:eastAsiaTheme="minorEastAsia"/>
          <w:b w:val="0"/>
          <w:kern w:val="2"/>
          <w14:ligatures w14:val="standardContextual"/>
        </w:rPr>
      </w:pPr>
      <w:hyperlink w:anchor="_Toc161933190" w:history="1">
        <w:r w:rsidR="00E22CE6" w:rsidRPr="00E22CE6">
          <w:rPr>
            <w:rStyle w:val="Collegamentoipertestuale"/>
            <w:rFonts w:cs="Tahoma"/>
          </w:rPr>
          <w:t>7. Il credito per le imposte pagate all’estero</w:t>
        </w:r>
        <w:r w:rsidR="00E22CE6" w:rsidRPr="00E22CE6">
          <w:rPr>
            <w:webHidden/>
          </w:rPr>
          <w:tab/>
        </w:r>
        <w:r w:rsidR="00E22CE6" w:rsidRPr="00E22CE6">
          <w:rPr>
            <w:webHidden/>
          </w:rPr>
          <w:fldChar w:fldCharType="begin"/>
        </w:r>
        <w:r w:rsidR="00E22CE6" w:rsidRPr="00E22CE6">
          <w:rPr>
            <w:webHidden/>
          </w:rPr>
          <w:instrText xml:space="preserve"> PAGEREF _Toc161933190 \h </w:instrText>
        </w:r>
        <w:r w:rsidR="00E22CE6" w:rsidRPr="00E22CE6">
          <w:rPr>
            <w:webHidden/>
          </w:rPr>
        </w:r>
        <w:r w:rsidR="00E22CE6" w:rsidRPr="00E22CE6">
          <w:rPr>
            <w:webHidden/>
          </w:rPr>
          <w:fldChar w:fldCharType="separate"/>
        </w:r>
        <w:r w:rsidR="00E873AF">
          <w:rPr>
            <w:webHidden/>
          </w:rPr>
          <w:t>55</w:t>
        </w:r>
        <w:r w:rsidR="00E22CE6" w:rsidRPr="00E22CE6">
          <w:rPr>
            <w:webHidden/>
          </w:rPr>
          <w:fldChar w:fldCharType="end"/>
        </w:r>
      </w:hyperlink>
    </w:p>
    <w:p w14:paraId="7332E4A9" w14:textId="3B341FB2" w:rsidR="00E22CE6" w:rsidRPr="00E22CE6" w:rsidRDefault="00000000" w:rsidP="00E22CE6">
      <w:pPr>
        <w:pStyle w:val="Sommario2"/>
        <w:tabs>
          <w:tab w:val="right" w:leader="dot" w:pos="9202"/>
        </w:tabs>
        <w:spacing w:before="60" w:after="60" w:line="326" w:lineRule="auto"/>
        <w:rPr>
          <w:rFonts w:eastAsiaTheme="minorEastAsia" w:cs="Tahoma"/>
          <w:noProof/>
          <w:kern w:val="2"/>
          <w:szCs w:val="20"/>
          <w14:ligatures w14:val="standardContextual"/>
        </w:rPr>
      </w:pPr>
      <w:hyperlink w:anchor="_Toc161933191" w:history="1">
        <w:r w:rsidR="00E22CE6" w:rsidRPr="00E22CE6">
          <w:rPr>
            <w:rStyle w:val="Collegamentoipertestuale"/>
            <w:rFonts w:cs="Tahoma"/>
            <w:noProof/>
            <w:szCs w:val="20"/>
          </w:rPr>
          <w:t>7.1 Premessa</w:t>
        </w:r>
        <w:r w:rsidR="00E22CE6" w:rsidRPr="00E22CE6">
          <w:rPr>
            <w:rFonts w:cs="Tahoma"/>
            <w:noProof/>
            <w:webHidden/>
            <w:szCs w:val="20"/>
          </w:rPr>
          <w:tab/>
        </w:r>
        <w:r w:rsidR="00E22CE6" w:rsidRPr="00E22CE6">
          <w:rPr>
            <w:rFonts w:cs="Tahoma"/>
            <w:noProof/>
            <w:webHidden/>
            <w:szCs w:val="20"/>
          </w:rPr>
          <w:fldChar w:fldCharType="begin"/>
        </w:r>
        <w:r w:rsidR="00E22CE6" w:rsidRPr="00E22CE6">
          <w:rPr>
            <w:rFonts w:cs="Tahoma"/>
            <w:noProof/>
            <w:webHidden/>
            <w:szCs w:val="20"/>
          </w:rPr>
          <w:instrText xml:space="preserve"> PAGEREF _Toc161933191 \h </w:instrText>
        </w:r>
        <w:r w:rsidR="00E22CE6" w:rsidRPr="00E22CE6">
          <w:rPr>
            <w:rFonts w:cs="Tahoma"/>
            <w:noProof/>
            <w:webHidden/>
            <w:szCs w:val="20"/>
          </w:rPr>
        </w:r>
        <w:r w:rsidR="00E22CE6" w:rsidRPr="00E22CE6">
          <w:rPr>
            <w:rFonts w:cs="Tahoma"/>
            <w:noProof/>
            <w:webHidden/>
            <w:szCs w:val="20"/>
          </w:rPr>
          <w:fldChar w:fldCharType="separate"/>
        </w:r>
        <w:r w:rsidR="00E873AF">
          <w:rPr>
            <w:rFonts w:cs="Tahoma"/>
            <w:noProof/>
            <w:webHidden/>
            <w:szCs w:val="20"/>
          </w:rPr>
          <w:t>55</w:t>
        </w:r>
        <w:r w:rsidR="00E22CE6" w:rsidRPr="00E22CE6">
          <w:rPr>
            <w:rFonts w:cs="Tahoma"/>
            <w:noProof/>
            <w:webHidden/>
            <w:szCs w:val="20"/>
          </w:rPr>
          <w:fldChar w:fldCharType="end"/>
        </w:r>
      </w:hyperlink>
    </w:p>
    <w:p w14:paraId="027B18B1" w14:textId="6D9F7200" w:rsidR="00E22CE6" w:rsidRPr="00E22CE6" w:rsidRDefault="00000000" w:rsidP="00E22CE6">
      <w:pPr>
        <w:pStyle w:val="Sommario2"/>
        <w:tabs>
          <w:tab w:val="right" w:leader="dot" w:pos="9202"/>
        </w:tabs>
        <w:spacing w:before="60" w:after="60" w:line="326" w:lineRule="auto"/>
        <w:rPr>
          <w:rFonts w:eastAsiaTheme="minorEastAsia" w:cs="Tahoma"/>
          <w:noProof/>
          <w:kern w:val="2"/>
          <w:szCs w:val="20"/>
          <w14:ligatures w14:val="standardContextual"/>
        </w:rPr>
      </w:pPr>
      <w:hyperlink w:anchor="_Toc161933192" w:history="1">
        <w:r w:rsidR="00E22CE6" w:rsidRPr="00E22CE6">
          <w:rPr>
            <w:rStyle w:val="Collegamentoipertestuale"/>
            <w:rFonts w:cs="Tahoma"/>
            <w:noProof/>
            <w:szCs w:val="20"/>
          </w:rPr>
          <w:t>7.2 Redditi di fonte estera per i quali compete il credito</w:t>
        </w:r>
        <w:r w:rsidR="00E22CE6" w:rsidRPr="00E22CE6">
          <w:rPr>
            <w:rFonts w:cs="Tahoma"/>
            <w:noProof/>
            <w:webHidden/>
            <w:szCs w:val="20"/>
          </w:rPr>
          <w:tab/>
        </w:r>
        <w:r w:rsidR="00E22CE6" w:rsidRPr="00E22CE6">
          <w:rPr>
            <w:rFonts w:cs="Tahoma"/>
            <w:noProof/>
            <w:webHidden/>
            <w:szCs w:val="20"/>
          </w:rPr>
          <w:fldChar w:fldCharType="begin"/>
        </w:r>
        <w:r w:rsidR="00E22CE6" w:rsidRPr="00E22CE6">
          <w:rPr>
            <w:rFonts w:cs="Tahoma"/>
            <w:noProof/>
            <w:webHidden/>
            <w:szCs w:val="20"/>
          </w:rPr>
          <w:instrText xml:space="preserve"> PAGEREF _Toc161933192 \h </w:instrText>
        </w:r>
        <w:r w:rsidR="00E22CE6" w:rsidRPr="00E22CE6">
          <w:rPr>
            <w:rFonts w:cs="Tahoma"/>
            <w:noProof/>
            <w:webHidden/>
            <w:szCs w:val="20"/>
          </w:rPr>
        </w:r>
        <w:r w:rsidR="00E22CE6" w:rsidRPr="00E22CE6">
          <w:rPr>
            <w:rFonts w:cs="Tahoma"/>
            <w:noProof/>
            <w:webHidden/>
            <w:szCs w:val="20"/>
          </w:rPr>
          <w:fldChar w:fldCharType="separate"/>
        </w:r>
        <w:r w:rsidR="00E873AF">
          <w:rPr>
            <w:rFonts w:cs="Tahoma"/>
            <w:noProof/>
            <w:webHidden/>
            <w:szCs w:val="20"/>
          </w:rPr>
          <w:t>56</w:t>
        </w:r>
        <w:r w:rsidR="00E22CE6" w:rsidRPr="00E22CE6">
          <w:rPr>
            <w:rFonts w:cs="Tahoma"/>
            <w:noProof/>
            <w:webHidden/>
            <w:szCs w:val="20"/>
          </w:rPr>
          <w:fldChar w:fldCharType="end"/>
        </w:r>
      </w:hyperlink>
    </w:p>
    <w:p w14:paraId="476EE3FD" w14:textId="3079490F" w:rsidR="00E22CE6" w:rsidRPr="00E22CE6" w:rsidRDefault="00000000" w:rsidP="00E22CE6">
      <w:pPr>
        <w:pStyle w:val="Sommario2"/>
        <w:tabs>
          <w:tab w:val="right" w:leader="dot" w:pos="9202"/>
        </w:tabs>
        <w:spacing w:before="60" w:after="60" w:line="326" w:lineRule="auto"/>
        <w:rPr>
          <w:rFonts w:eastAsiaTheme="minorEastAsia" w:cs="Tahoma"/>
          <w:noProof/>
          <w:kern w:val="2"/>
          <w:szCs w:val="20"/>
          <w14:ligatures w14:val="standardContextual"/>
        </w:rPr>
      </w:pPr>
      <w:hyperlink w:anchor="_Toc161933193" w:history="1">
        <w:r w:rsidR="00E22CE6" w:rsidRPr="00E22CE6">
          <w:rPr>
            <w:rStyle w:val="Collegamentoipertestuale"/>
            <w:rFonts w:cs="Tahoma"/>
            <w:noProof/>
            <w:szCs w:val="20"/>
          </w:rPr>
          <w:t>7.3 Concorso del reddito alla formazione del reddito complessivo</w:t>
        </w:r>
        <w:r w:rsidR="00E22CE6" w:rsidRPr="00E22CE6">
          <w:rPr>
            <w:rFonts w:cs="Tahoma"/>
            <w:noProof/>
            <w:webHidden/>
            <w:szCs w:val="20"/>
          </w:rPr>
          <w:tab/>
        </w:r>
        <w:r w:rsidR="00E22CE6" w:rsidRPr="00E22CE6">
          <w:rPr>
            <w:rFonts w:cs="Tahoma"/>
            <w:noProof/>
            <w:webHidden/>
            <w:szCs w:val="20"/>
          </w:rPr>
          <w:fldChar w:fldCharType="begin"/>
        </w:r>
        <w:r w:rsidR="00E22CE6" w:rsidRPr="00E22CE6">
          <w:rPr>
            <w:rFonts w:cs="Tahoma"/>
            <w:noProof/>
            <w:webHidden/>
            <w:szCs w:val="20"/>
          </w:rPr>
          <w:instrText xml:space="preserve"> PAGEREF _Toc161933193 \h </w:instrText>
        </w:r>
        <w:r w:rsidR="00E22CE6" w:rsidRPr="00E22CE6">
          <w:rPr>
            <w:rFonts w:cs="Tahoma"/>
            <w:noProof/>
            <w:webHidden/>
            <w:szCs w:val="20"/>
          </w:rPr>
        </w:r>
        <w:r w:rsidR="00E22CE6" w:rsidRPr="00E22CE6">
          <w:rPr>
            <w:rFonts w:cs="Tahoma"/>
            <w:noProof/>
            <w:webHidden/>
            <w:szCs w:val="20"/>
          </w:rPr>
          <w:fldChar w:fldCharType="separate"/>
        </w:r>
        <w:r w:rsidR="00E873AF">
          <w:rPr>
            <w:rFonts w:cs="Tahoma"/>
            <w:noProof/>
            <w:webHidden/>
            <w:szCs w:val="20"/>
          </w:rPr>
          <w:t>56</w:t>
        </w:r>
        <w:r w:rsidR="00E22CE6" w:rsidRPr="00E22CE6">
          <w:rPr>
            <w:rFonts w:cs="Tahoma"/>
            <w:noProof/>
            <w:webHidden/>
            <w:szCs w:val="20"/>
          </w:rPr>
          <w:fldChar w:fldCharType="end"/>
        </w:r>
      </w:hyperlink>
    </w:p>
    <w:p w14:paraId="042D48C4" w14:textId="3AFC9600" w:rsidR="00E22CE6" w:rsidRPr="00E22CE6" w:rsidRDefault="00000000" w:rsidP="00E22CE6">
      <w:pPr>
        <w:pStyle w:val="Sommario2"/>
        <w:tabs>
          <w:tab w:val="right" w:leader="dot" w:pos="9202"/>
        </w:tabs>
        <w:spacing w:before="60" w:after="60" w:line="326" w:lineRule="auto"/>
        <w:rPr>
          <w:rFonts w:eastAsiaTheme="minorEastAsia" w:cs="Tahoma"/>
          <w:noProof/>
          <w:kern w:val="2"/>
          <w:szCs w:val="20"/>
          <w14:ligatures w14:val="standardContextual"/>
        </w:rPr>
      </w:pPr>
      <w:hyperlink w:anchor="_Toc161933194" w:history="1">
        <w:r w:rsidR="00E22CE6" w:rsidRPr="00E22CE6">
          <w:rPr>
            <w:rStyle w:val="Collegamentoipertestuale"/>
            <w:rFonts w:cs="Tahoma"/>
            <w:noProof/>
            <w:szCs w:val="20"/>
          </w:rPr>
          <w:t>7.4 Imposte estere accreditabili</w:t>
        </w:r>
        <w:r w:rsidR="00E22CE6" w:rsidRPr="00E22CE6">
          <w:rPr>
            <w:rFonts w:cs="Tahoma"/>
            <w:noProof/>
            <w:webHidden/>
            <w:szCs w:val="20"/>
          </w:rPr>
          <w:tab/>
        </w:r>
        <w:r w:rsidR="00E22CE6" w:rsidRPr="00E22CE6">
          <w:rPr>
            <w:rFonts w:cs="Tahoma"/>
            <w:noProof/>
            <w:webHidden/>
            <w:szCs w:val="20"/>
          </w:rPr>
          <w:fldChar w:fldCharType="begin"/>
        </w:r>
        <w:r w:rsidR="00E22CE6" w:rsidRPr="00E22CE6">
          <w:rPr>
            <w:rFonts w:cs="Tahoma"/>
            <w:noProof/>
            <w:webHidden/>
            <w:szCs w:val="20"/>
          </w:rPr>
          <w:instrText xml:space="preserve"> PAGEREF _Toc161933194 \h </w:instrText>
        </w:r>
        <w:r w:rsidR="00E22CE6" w:rsidRPr="00E22CE6">
          <w:rPr>
            <w:rFonts w:cs="Tahoma"/>
            <w:noProof/>
            <w:webHidden/>
            <w:szCs w:val="20"/>
          </w:rPr>
        </w:r>
        <w:r w:rsidR="00E22CE6" w:rsidRPr="00E22CE6">
          <w:rPr>
            <w:rFonts w:cs="Tahoma"/>
            <w:noProof/>
            <w:webHidden/>
            <w:szCs w:val="20"/>
          </w:rPr>
          <w:fldChar w:fldCharType="separate"/>
        </w:r>
        <w:r w:rsidR="00E873AF">
          <w:rPr>
            <w:rFonts w:cs="Tahoma"/>
            <w:noProof/>
            <w:webHidden/>
            <w:szCs w:val="20"/>
          </w:rPr>
          <w:t>57</w:t>
        </w:r>
        <w:r w:rsidR="00E22CE6" w:rsidRPr="00E22CE6">
          <w:rPr>
            <w:rFonts w:cs="Tahoma"/>
            <w:noProof/>
            <w:webHidden/>
            <w:szCs w:val="20"/>
          </w:rPr>
          <w:fldChar w:fldCharType="end"/>
        </w:r>
      </w:hyperlink>
    </w:p>
    <w:p w14:paraId="584D483D" w14:textId="0AB09535" w:rsidR="00E22CE6" w:rsidRPr="00E22CE6" w:rsidRDefault="00000000" w:rsidP="00E22CE6">
      <w:pPr>
        <w:pStyle w:val="Sommario3"/>
        <w:spacing w:before="60" w:after="60" w:line="326" w:lineRule="auto"/>
        <w:rPr>
          <w:rFonts w:eastAsiaTheme="minorEastAsia"/>
          <w:i w:val="0"/>
          <w:kern w:val="2"/>
          <w14:ligatures w14:val="standardContextual"/>
        </w:rPr>
      </w:pPr>
      <w:hyperlink w:anchor="_Toc161933195" w:history="1">
        <w:r w:rsidR="00E22CE6" w:rsidRPr="00E22CE6">
          <w:rPr>
            <w:rStyle w:val="Collegamentoipertestuale"/>
            <w:rFonts w:cs="Tahoma"/>
          </w:rPr>
          <w:t>7.4.1 Imposta non espressa in euro</w:t>
        </w:r>
        <w:r w:rsidR="00E22CE6" w:rsidRPr="00E22CE6">
          <w:rPr>
            <w:webHidden/>
          </w:rPr>
          <w:tab/>
        </w:r>
        <w:r w:rsidR="00E22CE6" w:rsidRPr="00E22CE6">
          <w:rPr>
            <w:webHidden/>
          </w:rPr>
          <w:fldChar w:fldCharType="begin"/>
        </w:r>
        <w:r w:rsidR="00E22CE6" w:rsidRPr="00E22CE6">
          <w:rPr>
            <w:webHidden/>
          </w:rPr>
          <w:instrText xml:space="preserve"> PAGEREF _Toc161933195 \h </w:instrText>
        </w:r>
        <w:r w:rsidR="00E22CE6" w:rsidRPr="00E22CE6">
          <w:rPr>
            <w:webHidden/>
          </w:rPr>
        </w:r>
        <w:r w:rsidR="00E22CE6" w:rsidRPr="00E22CE6">
          <w:rPr>
            <w:webHidden/>
          </w:rPr>
          <w:fldChar w:fldCharType="separate"/>
        </w:r>
        <w:r w:rsidR="00E873AF">
          <w:rPr>
            <w:webHidden/>
          </w:rPr>
          <w:t>57</w:t>
        </w:r>
        <w:r w:rsidR="00E22CE6" w:rsidRPr="00E22CE6">
          <w:rPr>
            <w:webHidden/>
          </w:rPr>
          <w:fldChar w:fldCharType="end"/>
        </w:r>
      </w:hyperlink>
    </w:p>
    <w:p w14:paraId="27D93F7A" w14:textId="6D87210C" w:rsidR="00E22CE6" w:rsidRPr="00E22CE6" w:rsidRDefault="00000000" w:rsidP="00E22CE6">
      <w:pPr>
        <w:pStyle w:val="Sommario3"/>
        <w:spacing w:before="60" w:after="60" w:line="326" w:lineRule="auto"/>
        <w:rPr>
          <w:rFonts w:eastAsiaTheme="minorEastAsia"/>
          <w:i w:val="0"/>
          <w:kern w:val="2"/>
          <w14:ligatures w14:val="standardContextual"/>
        </w:rPr>
      </w:pPr>
      <w:hyperlink w:anchor="_Toc161933196" w:history="1">
        <w:r w:rsidR="00E22CE6" w:rsidRPr="00E22CE6">
          <w:rPr>
            <w:rStyle w:val="Collegamentoipertestuale"/>
            <w:rFonts w:cs="Tahoma"/>
          </w:rPr>
          <w:t>7.4.2 Carattere definitivo dell’imposta estera</w:t>
        </w:r>
        <w:r w:rsidR="00E22CE6" w:rsidRPr="00E22CE6">
          <w:rPr>
            <w:webHidden/>
          </w:rPr>
          <w:tab/>
        </w:r>
        <w:r w:rsidR="00E22CE6" w:rsidRPr="00E22CE6">
          <w:rPr>
            <w:webHidden/>
          </w:rPr>
          <w:fldChar w:fldCharType="begin"/>
        </w:r>
        <w:r w:rsidR="00E22CE6" w:rsidRPr="00E22CE6">
          <w:rPr>
            <w:webHidden/>
          </w:rPr>
          <w:instrText xml:space="preserve"> PAGEREF _Toc161933196 \h </w:instrText>
        </w:r>
        <w:r w:rsidR="00E22CE6" w:rsidRPr="00E22CE6">
          <w:rPr>
            <w:webHidden/>
          </w:rPr>
        </w:r>
        <w:r w:rsidR="00E22CE6" w:rsidRPr="00E22CE6">
          <w:rPr>
            <w:webHidden/>
          </w:rPr>
          <w:fldChar w:fldCharType="separate"/>
        </w:r>
        <w:r w:rsidR="00E873AF">
          <w:rPr>
            <w:webHidden/>
          </w:rPr>
          <w:t>57</w:t>
        </w:r>
        <w:r w:rsidR="00E22CE6" w:rsidRPr="00E22CE6">
          <w:rPr>
            <w:webHidden/>
          </w:rPr>
          <w:fldChar w:fldCharType="end"/>
        </w:r>
      </w:hyperlink>
    </w:p>
    <w:p w14:paraId="5464F3B3" w14:textId="7F2CF9ED" w:rsidR="00E22CE6" w:rsidRPr="00E22CE6" w:rsidRDefault="00000000" w:rsidP="00E22CE6">
      <w:pPr>
        <w:pStyle w:val="Sommario3"/>
        <w:spacing w:before="60" w:after="60" w:line="326" w:lineRule="auto"/>
        <w:rPr>
          <w:rFonts w:eastAsiaTheme="minorEastAsia"/>
          <w:i w:val="0"/>
          <w:kern w:val="2"/>
          <w14:ligatures w14:val="standardContextual"/>
        </w:rPr>
      </w:pPr>
      <w:hyperlink w:anchor="_Toc161933197" w:history="1">
        <w:r w:rsidR="00E22CE6" w:rsidRPr="00E22CE6">
          <w:rPr>
            <w:rStyle w:val="Collegamentoipertestuale"/>
            <w:rFonts w:cs="Tahoma"/>
          </w:rPr>
          <w:t>7.4.3 Documentazione dell’imposta estera pagata</w:t>
        </w:r>
        <w:r w:rsidR="00E22CE6" w:rsidRPr="00E22CE6">
          <w:rPr>
            <w:webHidden/>
          </w:rPr>
          <w:tab/>
        </w:r>
        <w:r w:rsidR="00E22CE6" w:rsidRPr="00E22CE6">
          <w:rPr>
            <w:webHidden/>
          </w:rPr>
          <w:fldChar w:fldCharType="begin"/>
        </w:r>
        <w:r w:rsidR="00E22CE6" w:rsidRPr="00E22CE6">
          <w:rPr>
            <w:webHidden/>
          </w:rPr>
          <w:instrText xml:space="preserve"> PAGEREF _Toc161933197 \h </w:instrText>
        </w:r>
        <w:r w:rsidR="00E22CE6" w:rsidRPr="00E22CE6">
          <w:rPr>
            <w:webHidden/>
          </w:rPr>
        </w:r>
        <w:r w:rsidR="00E22CE6" w:rsidRPr="00E22CE6">
          <w:rPr>
            <w:webHidden/>
          </w:rPr>
          <w:fldChar w:fldCharType="separate"/>
        </w:r>
        <w:r w:rsidR="00E873AF">
          <w:rPr>
            <w:webHidden/>
          </w:rPr>
          <w:t>58</w:t>
        </w:r>
        <w:r w:rsidR="00E22CE6" w:rsidRPr="00E22CE6">
          <w:rPr>
            <w:webHidden/>
          </w:rPr>
          <w:fldChar w:fldCharType="end"/>
        </w:r>
      </w:hyperlink>
    </w:p>
    <w:p w14:paraId="3FE605B3" w14:textId="045DD1C2" w:rsidR="00E22CE6" w:rsidRPr="00E22CE6" w:rsidRDefault="00000000" w:rsidP="00E22CE6">
      <w:pPr>
        <w:pStyle w:val="Sommario2"/>
        <w:tabs>
          <w:tab w:val="right" w:leader="dot" w:pos="9202"/>
        </w:tabs>
        <w:spacing w:before="60" w:after="60" w:line="326" w:lineRule="auto"/>
        <w:rPr>
          <w:rFonts w:eastAsiaTheme="minorEastAsia" w:cs="Tahoma"/>
          <w:noProof/>
          <w:kern w:val="2"/>
          <w:szCs w:val="20"/>
          <w14:ligatures w14:val="standardContextual"/>
        </w:rPr>
      </w:pPr>
      <w:hyperlink w:anchor="_Toc161933198" w:history="1">
        <w:r w:rsidR="00E22CE6" w:rsidRPr="00E22CE6">
          <w:rPr>
            <w:rStyle w:val="Collegamentoipertestuale"/>
            <w:rFonts w:cs="Tahoma"/>
            <w:noProof/>
            <w:szCs w:val="20"/>
          </w:rPr>
          <w:t>7.5 Determinazione del credito per le imposte pagate all’estero</w:t>
        </w:r>
        <w:r w:rsidR="00E22CE6" w:rsidRPr="00E22CE6">
          <w:rPr>
            <w:rFonts w:cs="Tahoma"/>
            <w:noProof/>
            <w:webHidden/>
            <w:szCs w:val="20"/>
          </w:rPr>
          <w:tab/>
        </w:r>
        <w:r w:rsidR="00E22CE6" w:rsidRPr="00E22CE6">
          <w:rPr>
            <w:rFonts w:cs="Tahoma"/>
            <w:noProof/>
            <w:webHidden/>
            <w:szCs w:val="20"/>
          </w:rPr>
          <w:fldChar w:fldCharType="begin"/>
        </w:r>
        <w:r w:rsidR="00E22CE6" w:rsidRPr="00E22CE6">
          <w:rPr>
            <w:rFonts w:cs="Tahoma"/>
            <w:noProof/>
            <w:webHidden/>
            <w:szCs w:val="20"/>
          </w:rPr>
          <w:instrText xml:space="preserve"> PAGEREF _Toc161933198 \h </w:instrText>
        </w:r>
        <w:r w:rsidR="00E22CE6" w:rsidRPr="00E22CE6">
          <w:rPr>
            <w:rFonts w:cs="Tahoma"/>
            <w:noProof/>
            <w:webHidden/>
            <w:szCs w:val="20"/>
          </w:rPr>
        </w:r>
        <w:r w:rsidR="00E22CE6" w:rsidRPr="00E22CE6">
          <w:rPr>
            <w:rFonts w:cs="Tahoma"/>
            <w:noProof/>
            <w:webHidden/>
            <w:szCs w:val="20"/>
          </w:rPr>
          <w:fldChar w:fldCharType="separate"/>
        </w:r>
        <w:r w:rsidR="00E873AF">
          <w:rPr>
            <w:rFonts w:cs="Tahoma"/>
            <w:noProof/>
            <w:webHidden/>
            <w:szCs w:val="20"/>
          </w:rPr>
          <w:t>58</w:t>
        </w:r>
        <w:r w:rsidR="00E22CE6" w:rsidRPr="00E22CE6">
          <w:rPr>
            <w:rFonts w:cs="Tahoma"/>
            <w:noProof/>
            <w:webHidden/>
            <w:szCs w:val="20"/>
          </w:rPr>
          <w:fldChar w:fldCharType="end"/>
        </w:r>
      </w:hyperlink>
    </w:p>
    <w:p w14:paraId="76757E8A" w14:textId="4CC00A3E" w:rsidR="00E22CE6" w:rsidRPr="00E22CE6" w:rsidRDefault="00000000" w:rsidP="00E22CE6">
      <w:pPr>
        <w:pStyle w:val="Sommario3"/>
        <w:spacing w:before="60" w:after="60" w:line="326" w:lineRule="auto"/>
        <w:rPr>
          <w:rFonts w:eastAsiaTheme="minorEastAsia"/>
          <w:i w:val="0"/>
          <w:kern w:val="2"/>
          <w14:ligatures w14:val="standardContextual"/>
        </w:rPr>
      </w:pPr>
      <w:hyperlink w:anchor="_Toc161933199" w:history="1">
        <w:r w:rsidR="00E22CE6" w:rsidRPr="00E22CE6">
          <w:rPr>
            <w:rStyle w:val="Collegamentoipertestuale"/>
            <w:rFonts w:cs="Tahoma"/>
          </w:rPr>
          <w:t>7.5.1 Quota d’imposta italiana</w:t>
        </w:r>
        <w:r w:rsidR="00E22CE6" w:rsidRPr="00E22CE6">
          <w:rPr>
            <w:webHidden/>
          </w:rPr>
          <w:tab/>
        </w:r>
        <w:r w:rsidR="00E22CE6" w:rsidRPr="00E22CE6">
          <w:rPr>
            <w:webHidden/>
          </w:rPr>
          <w:fldChar w:fldCharType="begin"/>
        </w:r>
        <w:r w:rsidR="00E22CE6" w:rsidRPr="00E22CE6">
          <w:rPr>
            <w:webHidden/>
          </w:rPr>
          <w:instrText xml:space="preserve"> PAGEREF _Toc161933199 \h </w:instrText>
        </w:r>
        <w:r w:rsidR="00E22CE6" w:rsidRPr="00E22CE6">
          <w:rPr>
            <w:webHidden/>
          </w:rPr>
        </w:r>
        <w:r w:rsidR="00E22CE6" w:rsidRPr="00E22CE6">
          <w:rPr>
            <w:webHidden/>
          </w:rPr>
          <w:fldChar w:fldCharType="separate"/>
        </w:r>
        <w:r w:rsidR="00E873AF">
          <w:rPr>
            <w:webHidden/>
          </w:rPr>
          <w:t>58</w:t>
        </w:r>
        <w:r w:rsidR="00E22CE6" w:rsidRPr="00E22CE6">
          <w:rPr>
            <w:webHidden/>
          </w:rPr>
          <w:fldChar w:fldCharType="end"/>
        </w:r>
      </w:hyperlink>
    </w:p>
    <w:p w14:paraId="14845E29" w14:textId="3D345D9C" w:rsidR="00E22CE6" w:rsidRPr="00E22CE6" w:rsidRDefault="00000000" w:rsidP="00E22CE6">
      <w:pPr>
        <w:pStyle w:val="Sommario3"/>
        <w:spacing w:before="60" w:after="60" w:line="326" w:lineRule="auto"/>
        <w:rPr>
          <w:rFonts w:eastAsiaTheme="minorEastAsia"/>
          <w:i w:val="0"/>
          <w:kern w:val="2"/>
          <w14:ligatures w14:val="standardContextual"/>
        </w:rPr>
      </w:pPr>
      <w:hyperlink w:anchor="_Toc161933200" w:history="1">
        <w:r w:rsidR="00E22CE6" w:rsidRPr="00E22CE6">
          <w:rPr>
            <w:rStyle w:val="Collegamentoipertestuale"/>
            <w:rFonts w:cs="Tahoma"/>
          </w:rPr>
          <w:t>7.5.2 Limite dell’imposta netta</w:t>
        </w:r>
        <w:r w:rsidR="00E22CE6" w:rsidRPr="00E22CE6">
          <w:rPr>
            <w:webHidden/>
          </w:rPr>
          <w:tab/>
        </w:r>
        <w:r w:rsidR="00E22CE6" w:rsidRPr="00E22CE6">
          <w:rPr>
            <w:webHidden/>
          </w:rPr>
          <w:fldChar w:fldCharType="begin"/>
        </w:r>
        <w:r w:rsidR="00E22CE6" w:rsidRPr="00E22CE6">
          <w:rPr>
            <w:webHidden/>
          </w:rPr>
          <w:instrText xml:space="preserve"> PAGEREF _Toc161933200 \h </w:instrText>
        </w:r>
        <w:r w:rsidR="00E22CE6" w:rsidRPr="00E22CE6">
          <w:rPr>
            <w:webHidden/>
          </w:rPr>
        </w:r>
        <w:r w:rsidR="00E22CE6" w:rsidRPr="00E22CE6">
          <w:rPr>
            <w:webHidden/>
          </w:rPr>
          <w:fldChar w:fldCharType="separate"/>
        </w:r>
        <w:r w:rsidR="00E873AF">
          <w:rPr>
            <w:webHidden/>
          </w:rPr>
          <w:t>59</w:t>
        </w:r>
        <w:r w:rsidR="00E22CE6" w:rsidRPr="00E22CE6">
          <w:rPr>
            <w:webHidden/>
          </w:rPr>
          <w:fldChar w:fldCharType="end"/>
        </w:r>
      </w:hyperlink>
    </w:p>
    <w:p w14:paraId="351CFF45" w14:textId="729CFF65" w:rsidR="00E22CE6" w:rsidRPr="00E22CE6" w:rsidRDefault="00000000" w:rsidP="00E22CE6">
      <w:pPr>
        <w:pStyle w:val="Sommario2"/>
        <w:tabs>
          <w:tab w:val="right" w:leader="dot" w:pos="9202"/>
        </w:tabs>
        <w:spacing w:before="60" w:after="60" w:line="326" w:lineRule="auto"/>
        <w:rPr>
          <w:rFonts w:eastAsiaTheme="minorEastAsia" w:cs="Tahoma"/>
          <w:noProof/>
          <w:kern w:val="2"/>
          <w:szCs w:val="20"/>
          <w14:ligatures w14:val="standardContextual"/>
        </w:rPr>
      </w:pPr>
      <w:hyperlink w:anchor="_Toc161933201" w:history="1">
        <w:r w:rsidR="00E22CE6" w:rsidRPr="00E22CE6">
          <w:rPr>
            <w:rStyle w:val="Collegamentoipertestuale"/>
            <w:rFonts w:cs="Tahoma"/>
            <w:noProof/>
            <w:szCs w:val="20"/>
          </w:rPr>
          <w:t>7.6 Periodo d’imposta in cui deve essere richiesta la detrazione</w:t>
        </w:r>
        <w:r w:rsidR="00E22CE6" w:rsidRPr="00E22CE6">
          <w:rPr>
            <w:rFonts w:cs="Tahoma"/>
            <w:noProof/>
            <w:webHidden/>
            <w:szCs w:val="20"/>
          </w:rPr>
          <w:tab/>
        </w:r>
        <w:r w:rsidR="00E22CE6" w:rsidRPr="00E22CE6">
          <w:rPr>
            <w:rFonts w:cs="Tahoma"/>
            <w:noProof/>
            <w:webHidden/>
            <w:szCs w:val="20"/>
          </w:rPr>
          <w:fldChar w:fldCharType="begin"/>
        </w:r>
        <w:r w:rsidR="00E22CE6" w:rsidRPr="00E22CE6">
          <w:rPr>
            <w:rFonts w:cs="Tahoma"/>
            <w:noProof/>
            <w:webHidden/>
            <w:szCs w:val="20"/>
          </w:rPr>
          <w:instrText xml:space="preserve"> PAGEREF _Toc161933201 \h </w:instrText>
        </w:r>
        <w:r w:rsidR="00E22CE6" w:rsidRPr="00E22CE6">
          <w:rPr>
            <w:rFonts w:cs="Tahoma"/>
            <w:noProof/>
            <w:webHidden/>
            <w:szCs w:val="20"/>
          </w:rPr>
        </w:r>
        <w:r w:rsidR="00E22CE6" w:rsidRPr="00E22CE6">
          <w:rPr>
            <w:rFonts w:cs="Tahoma"/>
            <w:noProof/>
            <w:webHidden/>
            <w:szCs w:val="20"/>
          </w:rPr>
          <w:fldChar w:fldCharType="separate"/>
        </w:r>
        <w:r w:rsidR="00E873AF">
          <w:rPr>
            <w:rFonts w:cs="Tahoma"/>
            <w:noProof/>
            <w:webHidden/>
            <w:szCs w:val="20"/>
          </w:rPr>
          <w:t>59</w:t>
        </w:r>
        <w:r w:rsidR="00E22CE6" w:rsidRPr="00E22CE6">
          <w:rPr>
            <w:rFonts w:cs="Tahoma"/>
            <w:noProof/>
            <w:webHidden/>
            <w:szCs w:val="20"/>
          </w:rPr>
          <w:fldChar w:fldCharType="end"/>
        </w:r>
      </w:hyperlink>
    </w:p>
    <w:p w14:paraId="3479D2A2" w14:textId="47C6F644" w:rsidR="00E22CE6" w:rsidRPr="00E22CE6" w:rsidRDefault="00000000" w:rsidP="00E22CE6">
      <w:pPr>
        <w:pStyle w:val="Sommario2"/>
        <w:tabs>
          <w:tab w:val="right" w:leader="dot" w:pos="9202"/>
        </w:tabs>
        <w:spacing w:before="60" w:after="60" w:line="326" w:lineRule="auto"/>
        <w:rPr>
          <w:rFonts w:eastAsiaTheme="minorEastAsia" w:cs="Tahoma"/>
          <w:noProof/>
          <w:kern w:val="2"/>
          <w:szCs w:val="20"/>
          <w14:ligatures w14:val="standardContextual"/>
        </w:rPr>
      </w:pPr>
      <w:hyperlink w:anchor="_Toc161933202" w:history="1">
        <w:r w:rsidR="00E22CE6" w:rsidRPr="00E22CE6">
          <w:rPr>
            <w:rStyle w:val="Collegamentoipertestuale"/>
            <w:rFonts w:cs="Tahoma"/>
            <w:noProof/>
            <w:szCs w:val="20"/>
          </w:rPr>
          <w:t>7.7 Per country limitation</w:t>
        </w:r>
        <w:r w:rsidR="00E22CE6" w:rsidRPr="00E22CE6">
          <w:rPr>
            <w:rFonts w:cs="Tahoma"/>
            <w:noProof/>
            <w:webHidden/>
            <w:szCs w:val="20"/>
          </w:rPr>
          <w:tab/>
        </w:r>
        <w:r w:rsidR="00E22CE6" w:rsidRPr="00E22CE6">
          <w:rPr>
            <w:rFonts w:cs="Tahoma"/>
            <w:noProof/>
            <w:webHidden/>
            <w:szCs w:val="20"/>
          </w:rPr>
          <w:fldChar w:fldCharType="begin"/>
        </w:r>
        <w:r w:rsidR="00E22CE6" w:rsidRPr="00E22CE6">
          <w:rPr>
            <w:rFonts w:cs="Tahoma"/>
            <w:noProof/>
            <w:webHidden/>
            <w:szCs w:val="20"/>
          </w:rPr>
          <w:instrText xml:space="preserve"> PAGEREF _Toc161933202 \h </w:instrText>
        </w:r>
        <w:r w:rsidR="00E22CE6" w:rsidRPr="00E22CE6">
          <w:rPr>
            <w:rFonts w:cs="Tahoma"/>
            <w:noProof/>
            <w:webHidden/>
            <w:szCs w:val="20"/>
          </w:rPr>
        </w:r>
        <w:r w:rsidR="00E22CE6" w:rsidRPr="00E22CE6">
          <w:rPr>
            <w:rFonts w:cs="Tahoma"/>
            <w:noProof/>
            <w:webHidden/>
            <w:szCs w:val="20"/>
          </w:rPr>
          <w:fldChar w:fldCharType="separate"/>
        </w:r>
        <w:r w:rsidR="00E873AF">
          <w:rPr>
            <w:rFonts w:cs="Tahoma"/>
            <w:noProof/>
            <w:webHidden/>
            <w:szCs w:val="20"/>
          </w:rPr>
          <w:t>60</w:t>
        </w:r>
        <w:r w:rsidR="00E22CE6" w:rsidRPr="00E22CE6">
          <w:rPr>
            <w:rFonts w:cs="Tahoma"/>
            <w:noProof/>
            <w:webHidden/>
            <w:szCs w:val="20"/>
          </w:rPr>
          <w:fldChar w:fldCharType="end"/>
        </w:r>
      </w:hyperlink>
    </w:p>
    <w:p w14:paraId="40925F27" w14:textId="2769C751" w:rsidR="00E22CE6" w:rsidRPr="00E22CE6" w:rsidRDefault="00000000" w:rsidP="00E22CE6">
      <w:pPr>
        <w:pStyle w:val="Sommario2"/>
        <w:tabs>
          <w:tab w:val="right" w:leader="dot" w:pos="9202"/>
        </w:tabs>
        <w:spacing w:before="60" w:after="60" w:line="326" w:lineRule="auto"/>
        <w:rPr>
          <w:rFonts w:eastAsiaTheme="minorEastAsia" w:cs="Tahoma"/>
          <w:noProof/>
          <w:kern w:val="2"/>
          <w:szCs w:val="20"/>
          <w14:ligatures w14:val="standardContextual"/>
        </w:rPr>
      </w:pPr>
      <w:hyperlink w:anchor="_Toc161933203" w:history="1">
        <w:r w:rsidR="00E22CE6" w:rsidRPr="00E22CE6">
          <w:rPr>
            <w:rStyle w:val="Collegamentoipertestuale"/>
            <w:rFonts w:cs="Tahoma"/>
            <w:noProof/>
            <w:szCs w:val="20"/>
          </w:rPr>
          <w:t>7.8 Redditi che concorrono solo parzialmente alla formazione della base imponibile italiana</w:t>
        </w:r>
        <w:r w:rsidR="00E22CE6" w:rsidRPr="00E22CE6">
          <w:rPr>
            <w:rFonts w:cs="Tahoma"/>
            <w:noProof/>
            <w:webHidden/>
            <w:szCs w:val="20"/>
          </w:rPr>
          <w:tab/>
        </w:r>
        <w:r w:rsidR="00E22CE6" w:rsidRPr="00E22CE6">
          <w:rPr>
            <w:rFonts w:cs="Tahoma"/>
            <w:noProof/>
            <w:webHidden/>
            <w:szCs w:val="20"/>
          </w:rPr>
          <w:fldChar w:fldCharType="begin"/>
        </w:r>
        <w:r w:rsidR="00E22CE6" w:rsidRPr="00E22CE6">
          <w:rPr>
            <w:rFonts w:cs="Tahoma"/>
            <w:noProof/>
            <w:webHidden/>
            <w:szCs w:val="20"/>
          </w:rPr>
          <w:instrText xml:space="preserve"> PAGEREF _Toc161933203 \h </w:instrText>
        </w:r>
        <w:r w:rsidR="00E22CE6" w:rsidRPr="00E22CE6">
          <w:rPr>
            <w:rFonts w:cs="Tahoma"/>
            <w:noProof/>
            <w:webHidden/>
            <w:szCs w:val="20"/>
          </w:rPr>
        </w:r>
        <w:r w:rsidR="00E22CE6" w:rsidRPr="00E22CE6">
          <w:rPr>
            <w:rFonts w:cs="Tahoma"/>
            <w:noProof/>
            <w:webHidden/>
            <w:szCs w:val="20"/>
          </w:rPr>
          <w:fldChar w:fldCharType="separate"/>
        </w:r>
        <w:r w:rsidR="00E873AF">
          <w:rPr>
            <w:rFonts w:cs="Tahoma"/>
            <w:noProof/>
            <w:webHidden/>
            <w:szCs w:val="20"/>
          </w:rPr>
          <w:t>60</w:t>
        </w:r>
        <w:r w:rsidR="00E22CE6" w:rsidRPr="00E22CE6">
          <w:rPr>
            <w:rFonts w:cs="Tahoma"/>
            <w:noProof/>
            <w:webHidden/>
            <w:szCs w:val="20"/>
          </w:rPr>
          <w:fldChar w:fldCharType="end"/>
        </w:r>
      </w:hyperlink>
    </w:p>
    <w:p w14:paraId="4A592DE3" w14:textId="27A37910" w:rsidR="00E22CE6" w:rsidRPr="00E22CE6" w:rsidRDefault="00000000" w:rsidP="00E22CE6">
      <w:pPr>
        <w:pStyle w:val="Sommario2"/>
        <w:tabs>
          <w:tab w:val="right" w:leader="dot" w:pos="9202"/>
        </w:tabs>
        <w:spacing w:before="60" w:after="60" w:line="326" w:lineRule="auto"/>
        <w:rPr>
          <w:rFonts w:eastAsiaTheme="minorEastAsia" w:cs="Tahoma"/>
          <w:noProof/>
          <w:kern w:val="2"/>
          <w:szCs w:val="20"/>
          <w14:ligatures w14:val="standardContextual"/>
        </w:rPr>
      </w:pPr>
      <w:hyperlink w:anchor="_Toc161933204" w:history="1">
        <w:r w:rsidR="00E22CE6" w:rsidRPr="00E22CE6">
          <w:rPr>
            <w:rStyle w:val="Collegamentoipertestuale"/>
            <w:rFonts w:cs="Tahoma"/>
            <w:noProof/>
            <w:szCs w:val="20"/>
          </w:rPr>
          <w:t>7.9 Indicazione in dichiarazione</w:t>
        </w:r>
        <w:r w:rsidR="00E22CE6" w:rsidRPr="00E22CE6">
          <w:rPr>
            <w:rFonts w:cs="Tahoma"/>
            <w:noProof/>
            <w:webHidden/>
            <w:szCs w:val="20"/>
          </w:rPr>
          <w:tab/>
        </w:r>
        <w:r w:rsidR="00E22CE6" w:rsidRPr="00E22CE6">
          <w:rPr>
            <w:rFonts w:cs="Tahoma"/>
            <w:noProof/>
            <w:webHidden/>
            <w:szCs w:val="20"/>
          </w:rPr>
          <w:fldChar w:fldCharType="begin"/>
        </w:r>
        <w:r w:rsidR="00E22CE6" w:rsidRPr="00E22CE6">
          <w:rPr>
            <w:rFonts w:cs="Tahoma"/>
            <w:noProof/>
            <w:webHidden/>
            <w:szCs w:val="20"/>
          </w:rPr>
          <w:instrText xml:space="preserve"> PAGEREF _Toc161933204 \h </w:instrText>
        </w:r>
        <w:r w:rsidR="00E22CE6" w:rsidRPr="00E22CE6">
          <w:rPr>
            <w:rFonts w:cs="Tahoma"/>
            <w:noProof/>
            <w:webHidden/>
            <w:szCs w:val="20"/>
          </w:rPr>
        </w:r>
        <w:r w:rsidR="00E22CE6" w:rsidRPr="00E22CE6">
          <w:rPr>
            <w:rFonts w:cs="Tahoma"/>
            <w:noProof/>
            <w:webHidden/>
            <w:szCs w:val="20"/>
          </w:rPr>
          <w:fldChar w:fldCharType="separate"/>
        </w:r>
        <w:r w:rsidR="00E873AF">
          <w:rPr>
            <w:rFonts w:cs="Tahoma"/>
            <w:noProof/>
            <w:webHidden/>
            <w:szCs w:val="20"/>
          </w:rPr>
          <w:t>60</w:t>
        </w:r>
        <w:r w:rsidR="00E22CE6" w:rsidRPr="00E22CE6">
          <w:rPr>
            <w:rFonts w:cs="Tahoma"/>
            <w:noProof/>
            <w:webHidden/>
            <w:szCs w:val="20"/>
          </w:rPr>
          <w:fldChar w:fldCharType="end"/>
        </w:r>
      </w:hyperlink>
    </w:p>
    <w:p w14:paraId="5A424BAF" w14:textId="4862ABBB" w:rsidR="00E22CE6" w:rsidRPr="00E22CE6" w:rsidRDefault="00000000" w:rsidP="00E22CE6">
      <w:pPr>
        <w:pStyle w:val="Sommario1"/>
        <w:rPr>
          <w:rFonts w:eastAsiaTheme="minorEastAsia"/>
          <w:b w:val="0"/>
          <w:kern w:val="2"/>
          <w14:ligatures w14:val="standardContextual"/>
        </w:rPr>
      </w:pPr>
      <w:hyperlink w:anchor="_Toc161933205" w:history="1">
        <w:r w:rsidR="00E22CE6" w:rsidRPr="00E22CE6">
          <w:rPr>
            <w:rStyle w:val="Collegamentoipertestuale"/>
            <w:rFonts w:cs="Tahoma"/>
          </w:rPr>
          <w:t>8. Il monitoraggio fiscale</w:t>
        </w:r>
        <w:r w:rsidR="00E22CE6" w:rsidRPr="00E22CE6">
          <w:rPr>
            <w:webHidden/>
          </w:rPr>
          <w:tab/>
        </w:r>
        <w:r w:rsidR="00E22CE6" w:rsidRPr="00E22CE6">
          <w:rPr>
            <w:webHidden/>
          </w:rPr>
          <w:fldChar w:fldCharType="begin"/>
        </w:r>
        <w:r w:rsidR="00E22CE6" w:rsidRPr="00E22CE6">
          <w:rPr>
            <w:webHidden/>
          </w:rPr>
          <w:instrText xml:space="preserve"> PAGEREF _Toc161933205 \h </w:instrText>
        </w:r>
        <w:r w:rsidR="00E22CE6" w:rsidRPr="00E22CE6">
          <w:rPr>
            <w:webHidden/>
          </w:rPr>
        </w:r>
        <w:r w:rsidR="00E22CE6" w:rsidRPr="00E22CE6">
          <w:rPr>
            <w:webHidden/>
          </w:rPr>
          <w:fldChar w:fldCharType="separate"/>
        </w:r>
        <w:r w:rsidR="00E873AF">
          <w:rPr>
            <w:webHidden/>
          </w:rPr>
          <w:t>62</w:t>
        </w:r>
        <w:r w:rsidR="00E22CE6" w:rsidRPr="00E22CE6">
          <w:rPr>
            <w:webHidden/>
          </w:rPr>
          <w:fldChar w:fldCharType="end"/>
        </w:r>
      </w:hyperlink>
    </w:p>
    <w:p w14:paraId="3C5E59D5" w14:textId="4B8472BB" w:rsidR="00E22CE6" w:rsidRPr="00E22CE6" w:rsidRDefault="00000000" w:rsidP="00E22CE6">
      <w:pPr>
        <w:pStyle w:val="Sommario2"/>
        <w:tabs>
          <w:tab w:val="right" w:leader="dot" w:pos="9202"/>
        </w:tabs>
        <w:spacing w:before="60" w:after="60" w:line="326" w:lineRule="auto"/>
        <w:rPr>
          <w:rFonts w:eastAsiaTheme="minorEastAsia" w:cs="Tahoma"/>
          <w:noProof/>
          <w:kern w:val="2"/>
          <w:szCs w:val="20"/>
          <w14:ligatures w14:val="standardContextual"/>
        </w:rPr>
      </w:pPr>
      <w:hyperlink w:anchor="_Toc161933206" w:history="1">
        <w:r w:rsidR="00E22CE6" w:rsidRPr="00E22CE6">
          <w:rPr>
            <w:rStyle w:val="Collegamentoipertestuale"/>
            <w:rFonts w:cs="Tahoma"/>
            <w:noProof/>
            <w:szCs w:val="20"/>
          </w:rPr>
          <w:t>8.1 Il quadro RW</w:t>
        </w:r>
        <w:r w:rsidR="00E22CE6" w:rsidRPr="00E22CE6">
          <w:rPr>
            <w:rFonts w:cs="Tahoma"/>
            <w:noProof/>
            <w:webHidden/>
            <w:szCs w:val="20"/>
          </w:rPr>
          <w:tab/>
        </w:r>
        <w:r w:rsidR="00E22CE6" w:rsidRPr="00E22CE6">
          <w:rPr>
            <w:rFonts w:cs="Tahoma"/>
            <w:noProof/>
            <w:webHidden/>
            <w:szCs w:val="20"/>
          </w:rPr>
          <w:fldChar w:fldCharType="begin"/>
        </w:r>
        <w:r w:rsidR="00E22CE6" w:rsidRPr="00E22CE6">
          <w:rPr>
            <w:rFonts w:cs="Tahoma"/>
            <w:noProof/>
            <w:webHidden/>
            <w:szCs w:val="20"/>
          </w:rPr>
          <w:instrText xml:space="preserve"> PAGEREF _Toc161933206 \h </w:instrText>
        </w:r>
        <w:r w:rsidR="00E22CE6" w:rsidRPr="00E22CE6">
          <w:rPr>
            <w:rFonts w:cs="Tahoma"/>
            <w:noProof/>
            <w:webHidden/>
            <w:szCs w:val="20"/>
          </w:rPr>
        </w:r>
        <w:r w:rsidR="00E22CE6" w:rsidRPr="00E22CE6">
          <w:rPr>
            <w:rFonts w:cs="Tahoma"/>
            <w:noProof/>
            <w:webHidden/>
            <w:szCs w:val="20"/>
          </w:rPr>
          <w:fldChar w:fldCharType="separate"/>
        </w:r>
        <w:r w:rsidR="00E873AF">
          <w:rPr>
            <w:rFonts w:cs="Tahoma"/>
            <w:noProof/>
            <w:webHidden/>
            <w:szCs w:val="20"/>
          </w:rPr>
          <w:t>62</w:t>
        </w:r>
        <w:r w:rsidR="00E22CE6" w:rsidRPr="00E22CE6">
          <w:rPr>
            <w:rFonts w:cs="Tahoma"/>
            <w:noProof/>
            <w:webHidden/>
            <w:szCs w:val="20"/>
          </w:rPr>
          <w:fldChar w:fldCharType="end"/>
        </w:r>
      </w:hyperlink>
    </w:p>
    <w:p w14:paraId="0AA91161" w14:textId="2E783DBF" w:rsidR="00E22CE6" w:rsidRPr="00E22CE6" w:rsidRDefault="00000000" w:rsidP="00E22CE6">
      <w:pPr>
        <w:pStyle w:val="Sommario3"/>
        <w:spacing w:before="60" w:after="60" w:line="326" w:lineRule="auto"/>
        <w:rPr>
          <w:rFonts w:eastAsiaTheme="minorEastAsia"/>
          <w:i w:val="0"/>
          <w:kern w:val="2"/>
          <w14:ligatures w14:val="standardContextual"/>
        </w:rPr>
      </w:pPr>
      <w:hyperlink w:anchor="_Toc161933207" w:history="1">
        <w:r w:rsidR="00E22CE6" w:rsidRPr="00E22CE6">
          <w:rPr>
            <w:rStyle w:val="Collegamentoipertestuale"/>
            <w:rFonts w:cs="Tahoma"/>
          </w:rPr>
          <w:t>8.1.1 Soggetti tenuti alla compilazione del quadro RW</w:t>
        </w:r>
        <w:r w:rsidR="00E22CE6" w:rsidRPr="00E22CE6">
          <w:rPr>
            <w:webHidden/>
          </w:rPr>
          <w:tab/>
        </w:r>
        <w:r w:rsidR="00E22CE6" w:rsidRPr="00E22CE6">
          <w:rPr>
            <w:webHidden/>
          </w:rPr>
          <w:fldChar w:fldCharType="begin"/>
        </w:r>
        <w:r w:rsidR="00E22CE6" w:rsidRPr="00E22CE6">
          <w:rPr>
            <w:webHidden/>
          </w:rPr>
          <w:instrText xml:space="preserve"> PAGEREF _Toc161933207 \h </w:instrText>
        </w:r>
        <w:r w:rsidR="00E22CE6" w:rsidRPr="00E22CE6">
          <w:rPr>
            <w:webHidden/>
          </w:rPr>
        </w:r>
        <w:r w:rsidR="00E22CE6" w:rsidRPr="00E22CE6">
          <w:rPr>
            <w:webHidden/>
          </w:rPr>
          <w:fldChar w:fldCharType="separate"/>
        </w:r>
        <w:r w:rsidR="00E873AF">
          <w:rPr>
            <w:webHidden/>
          </w:rPr>
          <w:t>62</w:t>
        </w:r>
        <w:r w:rsidR="00E22CE6" w:rsidRPr="00E22CE6">
          <w:rPr>
            <w:webHidden/>
          </w:rPr>
          <w:fldChar w:fldCharType="end"/>
        </w:r>
      </w:hyperlink>
    </w:p>
    <w:p w14:paraId="130C7747" w14:textId="61F2A641" w:rsidR="00E22CE6" w:rsidRPr="00E22CE6" w:rsidRDefault="00000000" w:rsidP="00E22CE6">
      <w:pPr>
        <w:pStyle w:val="Sommario3"/>
        <w:spacing w:before="60" w:after="60" w:line="326" w:lineRule="auto"/>
        <w:rPr>
          <w:rFonts w:eastAsiaTheme="minorEastAsia"/>
          <w:i w:val="0"/>
          <w:kern w:val="2"/>
          <w14:ligatures w14:val="standardContextual"/>
        </w:rPr>
      </w:pPr>
      <w:hyperlink w:anchor="_Toc161933208" w:history="1">
        <w:r w:rsidR="00E22CE6" w:rsidRPr="00E22CE6">
          <w:rPr>
            <w:rStyle w:val="Collegamentoipertestuale"/>
            <w:rFonts w:cs="Tahoma"/>
          </w:rPr>
          <w:t>8.1.2 Ambito oggettivo</w:t>
        </w:r>
        <w:r w:rsidR="00E22CE6" w:rsidRPr="00E22CE6">
          <w:rPr>
            <w:webHidden/>
          </w:rPr>
          <w:tab/>
        </w:r>
        <w:r w:rsidR="00E22CE6" w:rsidRPr="00E22CE6">
          <w:rPr>
            <w:webHidden/>
          </w:rPr>
          <w:fldChar w:fldCharType="begin"/>
        </w:r>
        <w:r w:rsidR="00E22CE6" w:rsidRPr="00E22CE6">
          <w:rPr>
            <w:webHidden/>
          </w:rPr>
          <w:instrText xml:space="preserve"> PAGEREF _Toc161933208 \h </w:instrText>
        </w:r>
        <w:r w:rsidR="00E22CE6" w:rsidRPr="00E22CE6">
          <w:rPr>
            <w:webHidden/>
          </w:rPr>
        </w:r>
        <w:r w:rsidR="00E22CE6" w:rsidRPr="00E22CE6">
          <w:rPr>
            <w:webHidden/>
          </w:rPr>
          <w:fldChar w:fldCharType="separate"/>
        </w:r>
        <w:r w:rsidR="00E873AF">
          <w:rPr>
            <w:webHidden/>
          </w:rPr>
          <w:t>63</w:t>
        </w:r>
        <w:r w:rsidR="00E22CE6" w:rsidRPr="00E22CE6">
          <w:rPr>
            <w:webHidden/>
          </w:rPr>
          <w:fldChar w:fldCharType="end"/>
        </w:r>
      </w:hyperlink>
    </w:p>
    <w:p w14:paraId="6048ABBE" w14:textId="358425A5" w:rsidR="00E22CE6" w:rsidRPr="00E22CE6" w:rsidRDefault="00000000" w:rsidP="00E22CE6">
      <w:pPr>
        <w:pStyle w:val="Sommario3"/>
        <w:spacing w:before="60" w:after="60" w:line="326" w:lineRule="auto"/>
        <w:rPr>
          <w:rFonts w:eastAsiaTheme="minorEastAsia"/>
          <w:i w:val="0"/>
          <w:kern w:val="2"/>
          <w14:ligatures w14:val="standardContextual"/>
        </w:rPr>
      </w:pPr>
      <w:hyperlink w:anchor="_Toc161933209" w:history="1">
        <w:r w:rsidR="00E22CE6" w:rsidRPr="00E22CE6">
          <w:rPr>
            <w:rStyle w:val="Collegamentoipertestuale"/>
            <w:rFonts w:cs="Tahoma"/>
          </w:rPr>
          <w:t>8.1.3 Attività estere di natura finanziaria</w:t>
        </w:r>
        <w:r w:rsidR="00E22CE6" w:rsidRPr="00E22CE6">
          <w:rPr>
            <w:webHidden/>
          </w:rPr>
          <w:tab/>
        </w:r>
        <w:r w:rsidR="00E22CE6" w:rsidRPr="00E22CE6">
          <w:rPr>
            <w:webHidden/>
          </w:rPr>
          <w:fldChar w:fldCharType="begin"/>
        </w:r>
        <w:r w:rsidR="00E22CE6" w:rsidRPr="00E22CE6">
          <w:rPr>
            <w:webHidden/>
          </w:rPr>
          <w:instrText xml:space="preserve"> PAGEREF _Toc161933209 \h </w:instrText>
        </w:r>
        <w:r w:rsidR="00E22CE6" w:rsidRPr="00E22CE6">
          <w:rPr>
            <w:webHidden/>
          </w:rPr>
        </w:r>
        <w:r w:rsidR="00E22CE6" w:rsidRPr="00E22CE6">
          <w:rPr>
            <w:webHidden/>
          </w:rPr>
          <w:fldChar w:fldCharType="separate"/>
        </w:r>
        <w:r w:rsidR="00E873AF">
          <w:rPr>
            <w:webHidden/>
          </w:rPr>
          <w:t>63</w:t>
        </w:r>
        <w:r w:rsidR="00E22CE6" w:rsidRPr="00E22CE6">
          <w:rPr>
            <w:webHidden/>
          </w:rPr>
          <w:fldChar w:fldCharType="end"/>
        </w:r>
      </w:hyperlink>
    </w:p>
    <w:p w14:paraId="5EF186C4" w14:textId="3B47D7BC" w:rsidR="00E22CE6" w:rsidRPr="00E22CE6" w:rsidRDefault="00000000" w:rsidP="00E22CE6">
      <w:pPr>
        <w:pStyle w:val="Sommario3"/>
        <w:spacing w:before="60" w:after="60" w:line="326" w:lineRule="auto"/>
        <w:rPr>
          <w:rFonts w:eastAsiaTheme="minorEastAsia"/>
          <w:i w:val="0"/>
          <w:kern w:val="2"/>
          <w14:ligatures w14:val="standardContextual"/>
        </w:rPr>
      </w:pPr>
      <w:hyperlink w:anchor="_Toc161933210" w:history="1">
        <w:r w:rsidR="00E22CE6" w:rsidRPr="00E22CE6">
          <w:rPr>
            <w:rStyle w:val="Collegamentoipertestuale"/>
            <w:rFonts w:cs="Tahoma"/>
          </w:rPr>
          <w:t>8.1.4 Attività patrimoniali situate all’estero</w:t>
        </w:r>
        <w:r w:rsidR="00E22CE6" w:rsidRPr="00E22CE6">
          <w:rPr>
            <w:webHidden/>
          </w:rPr>
          <w:tab/>
        </w:r>
        <w:r w:rsidR="00E22CE6" w:rsidRPr="00E22CE6">
          <w:rPr>
            <w:webHidden/>
          </w:rPr>
          <w:fldChar w:fldCharType="begin"/>
        </w:r>
        <w:r w:rsidR="00E22CE6" w:rsidRPr="00E22CE6">
          <w:rPr>
            <w:webHidden/>
          </w:rPr>
          <w:instrText xml:space="preserve"> PAGEREF _Toc161933210 \h </w:instrText>
        </w:r>
        <w:r w:rsidR="00E22CE6" w:rsidRPr="00E22CE6">
          <w:rPr>
            <w:webHidden/>
          </w:rPr>
        </w:r>
        <w:r w:rsidR="00E22CE6" w:rsidRPr="00E22CE6">
          <w:rPr>
            <w:webHidden/>
          </w:rPr>
          <w:fldChar w:fldCharType="separate"/>
        </w:r>
        <w:r w:rsidR="00E873AF">
          <w:rPr>
            <w:webHidden/>
          </w:rPr>
          <w:t>66</w:t>
        </w:r>
        <w:r w:rsidR="00E22CE6" w:rsidRPr="00E22CE6">
          <w:rPr>
            <w:webHidden/>
          </w:rPr>
          <w:fldChar w:fldCharType="end"/>
        </w:r>
      </w:hyperlink>
    </w:p>
    <w:p w14:paraId="72CBF8DF" w14:textId="0B2E8DDA" w:rsidR="00E22CE6" w:rsidRPr="00E22CE6" w:rsidRDefault="00000000" w:rsidP="00E22CE6">
      <w:pPr>
        <w:pStyle w:val="Sommario3"/>
        <w:spacing w:before="60" w:after="60" w:line="326" w:lineRule="auto"/>
        <w:rPr>
          <w:rFonts w:eastAsiaTheme="minorEastAsia"/>
          <w:i w:val="0"/>
          <w:kern w:val="2"/>
          <w14:ligatures w14:val="standardContextual"/>
        </w:rPr>
      </w:pPr>
      <w:hyperlink w:anchor="_Toc161933211" w:history="1">
        <w:r w:rsidR="00E22CE6" w:rsidRPr="00E22CE6">
          <w:rPr>
            <w:rStyle w:val="Collegamentoipertestuale"/>
            <w:rFonts w:cs="Tahoma"/>
          </w:rPr>
          <w:t>8.1.5 il nuovo quadro W nel modello 730</w:t>
        </w:r>
        <w:r w:rsidR="00E22CE6" w:rsidRPr="00E22CE6">
          <w:rPr>
            <w:webHidden/>
          </w:rPr>
          <w:tab/>
        </w:r>
        <w:r w:rsidR="00E22CE6" w:rsidRPr="00E22CE6">
          <w:rPr>
            <w:webHidden/>
          </w:rPr>
          <w:fldChar w:fldCharType="begin"/>
        </w:r>
        <w:r w:rsidR="00E22CE6" w:rsidRPr="00E22CE6">
          <w:rPr>
            <w:webHidden/>
          </w:rPr>
          <w:instrText xml:space="preserve"> PAGEREF _Toc161933211 \h </w:instrText>
        </w:r>
        <w:r w:rsidR="00E22CE6" w:rsidRPr="00E22CE6">
          <w:rPr>
            <w:webHidden/>
          </w:rPr>
        </w:r>
        <w:r w:rsidR="00E22CE6" w:rsidRPr="00E22CE6">
          <w:rPr>
            <w:webHidden/>
          </w:rPr>
          <w:fldChar w:fldCharType="separate"/>
        </w:r>
        <w:r w:rsidR="00E873AF">
          <w:rPr>
            <w:webHidden/>
          </w:rPr>
          <w:t>66</w:t>
        </w:r>
        <w:r w:rsidR="00E22CE6" w:rsidRPr="00E22CE6">
          <w:rPr>
            <w:webHidden/>
          </w:rPr>
          <w:fldChar w:fldCharType="end"/>
        </w:r>
      </w:hyperlink>
    </w:p>
    <w:p w14:paraId="161783E4" w14:textId="0EF39665" w:rsidR="00E22CE6" w:rsidRPr="00E22CE6" w:rsidRDefault="00000000" w:rsidP="00E22CE6">
      <w:pPr>
        <w:pStyle w:val="Sommario2"/>
        <w:tabs>
          <w:tab w:val="right" w:leader="dot" w:pos="9202"/>
        </w:tabs>
        <w:spacing w:before="60" w:after="60" w:line="326" w:lineRule="auto"/>
        <w:rPr>
          <w:rFonts w:eastAsiaTheme="minorEastAsia" w:cs="Tahoma"/>
          <w:noProof/>
          <w:kern w:val="2"/>
          <w:szCs w:val="20"/>
          <w14:ligatures w14:val="standardContextual"/>
        </w:rPr>
      </w:pPr>
      <w:hyperlink w:anchor="_Toc161933212" w:history="1">
        <w:r w:rsidR="00E22CE6" w:rsidRPr="00E22CE6">
          <w:rPr>
            <w:rStyle w:val="Collegamentoipertestuale"/>
            <w:rFonts w:cs="Tahoma"/>
            <w:noProof/>
            <w:szCs w:val="20"/>
          </w:rPr>
          <w:t>8.2 Valori da indicare all’interno del quadro RW</w:t>
        </w:r>
        <w:r w:rsidR="00E22CE6" w:rsidRPr="00E22CE6">
          <w:rPr>
            <w:rFonts w:cs="Tahoma"/>
            <w:noProof/>
            <w:webHidden/>
            <w:szCs w:val="20"/>
          </w:rPr>
          <w:tab/>
        </w:r>
        <w:r w:rsidR="00E22CE6" w:rsidRPr="00E22CE6">
          <w:rPr>
            <w:rFonts w:cs="Tahoma"/>
            <w:noProof/>
            <w:webHidden/>
            <w:szCs w:val="20"/>
          </w:rPr>
          <w:fldChar w:fldCharType="begin"/>
        </w:r>
        <w:r w:rsidR="00E22CE6" w:rsidRPr="00E22CE6">
          <w:rPr>
            <w:rFonts w:cs="Tahoma"/>
            <w:noProof/>
            <w:webHidden/>
            <w:szCs w:val="20"/>
          </w:rPr>
          <w:instrText xml:space="preserve"> PAGEREF _Toc161933212 \h </w:instrText>
        </w:r>
        <w:r w:rsidR="00E22CE6" w:rsidRPr="00E22CE6">
          <w:rPr>
            <w:rFonts w:cs="Tahoma"/>
            <w:noProof/>
            <w:webHidden/>
            <w:szCs w:val="20"/>
          </w:rPr>
        </w:r>
        <w:r w:rsidR="00E22CE6" w:rsidRPr="00E22CE6">
          <w:rPr>
            <w:rFonts w:cs="Tahoma"/>
            <w:noProof/>
            <w:webHidden/>
            <w:szCs w:val="20"/>
          </w:rPr>
          <w:fldChar w:fldCharType="separate"/>
        </w:r>
        <w:r w:rsidR="00E873AF">
          <w:rPr>
            <w:rFonts w:cs="Tahoma"/>
            <w:noProof/>
            <w:webHidden/>
            <w:szCs w:val="20"/>
          </w:rPr>
          <w:t>67</w:t>
        </w:r>
        <w:r w:rsidR="00E22CE6" w:rsidRPr="00E22CE6">
          <w:rPr>
            <w:rFonts w:cs="Tahoma"/>
            <w:noProof/>
            <w:webHidden/>
            <w:szCs w:val="20"/>
          </w:rPr>
          <w:fldChar w:fldCharType="end"/>
        </w:r>
      </w:hyperlink>
    </w:p>
    <w:p w14:paraId="1F2B857E" w14:textId="1112BCE5" w:rsidR="00E22CE6" w:rsidRPr="00E22CE6" w:rsidRDefault="00000000" w:rsidP="00E22CE6">
      <w:pPr>
        <w:pStyle w:val="Sommario2"/>
        <w:tabs>
          <w:tab w:val="right" w:leader="dot" w:pos="9202"/>
        </w:tabs>
        <w:spacing w:before="60" w:after="60" w:line="326" w:lineRule="auto"/>
        <w:rPr>
          <w:rFonts w:eastAsiaTheme="minorEastAsia" w:cs="Tahoma"/>
          <w:noProof/>
          <w:kern w:val="2"/>
          <w:szCs w:val="20"/>
          <w14:ligatures w14:val="standardContextual"/>
        </w:rPr>
      </w:pPr>
      <w:hyperlink w:anchor="_Toc161933213" w:history="1">
        <w:r w:rsidR="00E22CE6" w:rsidRPr="00E22CE6">
          <w:rPr>
            <w:rStyle w:val="Collegamentoipertestuale"/>
            <w:rFonts w:cs="Tahoma"/>
            <w:noProof/>
            <w:szCs w:val="20"/>
          </w:rPr>
          <w:t>8.3 Importi in valuta estera</w:t>
        </w:r>
        <w:r w:rsidR="00E22CE6" w:rsidRPr="00E22CE6">
          <w:rPr>
            <w:rFonts w:cs="Tahoma"/>
            <w:noProof/>
            <w:webHidden/>
            <w:szCs w:val="20"/>
          </w:rPr>
          <w:tab/>
        </w:r>
        <w:r w:rsidR="00E22CE6" w:rsidRPr="00E22CE6">
          <w:rPr>
            <w:rFonts w:cs="Tahoma"/>
            <w:noProof/>
            <w:webHidden/>
            <w:szCs w:val="20"/>
          </w:rPr>
          <w:fldChar w:fldCharType="begin"/>
        </w:r>
        <w:r w:rsidR="00E22CE6" w:rsidRPr="00E22CE6">
          <w:rPr>
            <w:rFonts w:cs="Tahoma"/>
            <w:noProof/>
            <w:webHidden/>
            <w:szCs w:val="20"/>
          </w:rPr>
          <w:instrText xml:space="preserve"> PAGEREF _Toc161933213 \h </w:instrText>
        </w:r>
        <w:r w:rsidR="00E22CE6" w:rsidRPr="00E22CE6">
          <w:rPr>
            <w:rFonts w:cs="Tahoma"/>
            <w:noProof/>
            <w:webHidden/>
            <w:szCs w:val="20"/>
          </w:rPr>
        </w:r>
        <w:r w:rsidR="00E22CE6" w:rsidRPr="00E22CE6">
          <w:rPr>
            <w:rFonts w:cs="Tahoma"/>
            <w:noProof/>
            <w:webHidden/>
            <w:szCs w:val="20"/>
          </w:rPr>
          <w:fldChar w:fldCharType="separate"/>
        </w:r>
        <w:r w:rsidR="00E873AF">
          <w:rPr>
            <w:rFonts w:cs="Tahoma"/>
            <w:noProof/>
            <w:webHidden/>
            <w:szCs w:val="20"/>
          </w:rPr>
          <w:t>67</w:t>
        </w:r>
        <w:r w:rsidR="00E22CE6" w:rsidRPr="00E22CE6">
          <w:rPr>
            <w:rFonts w:cs="Tahoma"/>
            <w:noProof/>
            <w:webHidden/>
            <w:szCs w:val="20"/>
          </w:rPr>
          <w:fldChar w:fldCharType="end"/>
        </w:r>
      </w:hyperlink>
    </w:p>
    <w:p w14:paraId="63ACE712" w14:textId="75EA2693" w:rsidR="00E22CE6" w:rsidRPr="00E22CE6" w:rsidRDefault="00000000" w:rsidP="00E22CE6">
      <w:pPr>
        <w:pStyle w:val="Sommario2"/>
        <w:tabs>
          <w:tab w:val="right" w:leader="dot" w:pos="9202"/>
        </w:tabs>
        <w:spacing w:before="60" w:after="60" w:line="326" w:lineRule="auto"/>
        <w:rPr>
          <w:rFonts w:eastAsiaTheme="minorEastAsia" w:cs="Tahoma"/>
          <w:noProof/>
          <w:kern w:val="2"/>
          <w:szCs w:val="20"/>
          <w14:ligatures w14:val="standardContextual"/>
        </w:rPr>
      </w:pPr>
      <w:hyperlink w:anchor="_Toc161933214" w:history="1">
        <w:r w:rsidR="00E22CE6" w:rsidRPr="00E22CE6">
          <w:rPr>
            <w:rStyle w:val="Collegamentoipertestuale"/>
            <w:rFonts w:cs="Tahoma"/>
            <w:noProof/>
            <w:szCs w:val="20"/>
          </w:rPr>
          <w:t>8.4 Esonero dalla compilazione del quadro RW</w:t>
        </w:r>
        <w:r w:rsidR="00E22CE6" w:rsidRPr="00E22CE6">
          <w:rPr>
            <w:rFonts w:cs="Tahoma"/>
            <w:noProof/>
            <w:webHidden/>
            <w:szCs w:val="20"/>
          </w:rPr>
          <w:tab/>
        </w:r>
        <w:r w:rsidR="00E22CE6" w:rsidRPr="00E22CE6">
          <w:rPr>
            <w:rFonts w:cs="Tahoma"/>
            <w:noProof/>
            <w:webHidden/>
            <w:szCs w:val="20"/>
          </w:rPr>
          <w:fldChar w:fldCharType="begin"/>
        </w:r>
        <w:r w:rsidR="00E22CE6" w:rsidRPr="00E22CE6">
          <w:rPr>
            <w:rFonts w:cs="Tahoma"/>
            <w:noProof/>
            <w:webHidden/>
            <w:szCs w:val="20"/>
          </w:rPr>
          <w:instrText xml:space="preserve"> PAGEREF _Toc161933214 \h </w:instrText>
        </w:r>
        <w:r w:rsidR="00E22CE6" w:rsidRPr="00E22CE6">
          <w:rPr>
            <w:rFonts w:cs="Tahoma"/>
            <w:noProof/>
            <w:webHidden/>
            <w:szCs w:val="20"/>
          </w:rPr>
        </w:r>
        <w:r w:rsidR="00E22CE6" w:rsidRPr="00E22CE6">
          <w:rPr>
            <w:rFonts w:cs="Tahoma"/>
            <w:noProof/>
            <w:webHidden/>
            <w:szCs w:val="20"/>
          </w:rPr>
          <w:fldChar w:fldCharType="separate"/>
        </w:r>
        <w:r w:rsidR="00E873AF">
          <w:rPr>
            <w:rFonts w:cs="Tahoma"/>
            <w:noProof/>
            <w:webHidden/>
            <w:szCs w:val="20"/>
          </w:rPr>
          <w:t>68</w:t>
        </w:r>
        <w:r w:rsidR="00E22CE6" w:rsidRPr="00E22CE6">
          <w:rPr>
            <w:rFonts w:cs="Tahoma"/>
            <w:noProof/>
            <w:webHidden/>
            <w:szCs w:val="20"/>
          </w:rPr>
          <w:fldChar w:fldCharType="end"/>
        </w:r>
      </w:hyperlink>
    </w:p>
    <w:p w14:paraId="7B29957F" w14:textId="7696CF6F" w:rsidR="00E22CE6" w:rsidRPr="00E22CE6" w:rsidRDefault="00000000" w:rsidP="00E22CE6">
      <w:pPr>
        <w:pStyle w:val="Sommario3"/>
        <w:spacing w:before="60" w:after="60" w:line="326" w:lineRule="auto"/>
        <w:rPr>
          <w:rFonts w:eastAsiaTheme="minorEastAsia"/>
          <w:i w:val="0"/>
          <w:kern w:val="2"/>
          <w14:ligatures w14:val="standardContextual"/>
        </w:rPr>
      </w:pPr>
      <w:hyperlink w:anchor="_Toc161933215" w:history="1">
        <w:r w:rsidR="00E22CE6" w:rsidRPr="00E22CE6">
          <w:rPr>
            <w:rStyle w:val="Collegamentoipertestuale"/>
            <w:rFonts w:cs="Tahoma"/>
          </w:rPr>
          <w:t>8.4.1 Esonero per gli immobili esteri che non hanno subito variazioni</w:t>
        </w:r>
        <w:r w:rsidR="00E22CE6" w:rsidRPr="00E22CE6">
          <w:rPr>
            <w:webHidden/>
          </w:rPr>
          <w:tab/>
        </w:r>
        <w:r w:rsidR="00E22CE6" w:rsidRPr="00E22CE6">
          <w:rPr>
            <w:webHidden/>
          </w:rPr>
          <w:fldChar w:fldCharType="begin"/>
        </w:r>
        <w:r w:rsidR="00E22CE6" w:rsidRPr="00E22CE6">
          <w:rPr>
            <w:webHidden/>
          </w:rPr>
          <w:instrText xml:space="preserve"> PAGEREF _Toc161933215 \h </w:instrText>
        </w:r>
        <w:r w:rsidR="00E22CE6" w:rsidRPr="00E22CE6">
          <w:rPr>
            <w:webHidden/>
          </w:rPr>
        </w:r>
        <w:r w:rsidR="00E22CE6" w:rsidRPr="00E22CE6">
          <w:rPr>
            <w:webHidden/>
          </w:rPr>
          <w:fldChar w:fldCharType="separate"/>
        </w:r>
        <w:r w:rsidR="00E873AF">
          <w:rPr>
            <w:webHidden/>
          </w:rPr>
          <w:t>68</w:t>
        </w:r>
        <w:r w:rsidR="00E22CE6" w:rsidRPr="00E22CE6">
          <w:rPr>
            <w:webHidden/>
          </w:rPr>
          <w:fldChar w:fldCharType="end"/>
        </w:r>
      </w:hyperlink>
    </w:p>
    <w:p w14:paraId="055921ED" w14:textId="3F578BED" w:rsidR="00E22CE6" w:rsidRPr="00E22CE6" w:rsidRDefault="00000000" w:rsidP="00E22CE6">
      <w:pPr>
        <w:pStyle w:val="Sommario2"/>
        <w:tabs>
          <w:tab w:val="right" w:leader="dot" w:pos="9202"/>
        </w:tabs>
        <w:spacing w:before="60" w:after="60" w:line="326" w:lineRule="auto"/>
        <w:rPr>
          <w:rFonts w:eastAsiaTheme="minorEastAsia" w:cs="Tahoma"/>
          <w:noProof/>
          <w:kern w:val="2"/>
          <w:szCs w:val="20"/>
          <w14:ligatures w14:val="standardContextual"/>
        </w:rPr>
      </w:pPr>
      <w:hyperlink w:anchor="_Toc161933216" w:history="1">
        <w:r w:rsidR="00E22CE6" w:rsidRPr="00E22CE6">
          <w:rPr>
            <w:rStyle w:val="Collegamentoipertestuale"/>
            <w:rFonts w:cs="Tahoma"/>
            <w:noProof/>
            <w:szCs w:val="20"/>
          </w:rPr>
          <w:t>8.5 Esempi di compilazione del modello REDDITI</w:t>
        </w:r>
        <w:r w:rsidR="00E22CE6" w:rsidRPr="00E22CE6">
          <w:rPr>
            <w:rFonts w:cs="Tahoma"/>
            <w:noProof/>
            <w:webHidden/>
            <w:szCs w:val="20"/>
          </w:rPr>
          <w:tab/>
        </w:r>
        <w:r w:rsidR="00E22CE6" w:rsidRPr="00E22CE6">
          <w:rPr>
            <w:rFonts w:cs="Tahoma"/>
            <w:noProof/>
            <w:webHidden/>
            <w:szCs w:val="20"/>
          </w:rPr>
          <w:fldChar w:fldCharType="begin"/>
        </w:r>
        <w:r w:rsidR="00E22CE6" w:rsidRPr="00E22CE6">
          <w:rPr>
            <w:rFonts w:cs="Tahoma"/>
            <w:noProof/>
            <w:webHidden/>
            <w:szCs w:val="20"/>
          </w:rPr>
          <w:instrText xml:space="preserve"> PAGEREF _Toc161933216 \h </w:instrText>
        </w:r>
        <w:r w:rsidR="00E22CE6" w:rsidRPr="00E22CE6">
          <w:rPr>
            <w:rFonts w:cs="Tahoma"/>
            <w:noProof/>
            <w:webHidden/>
            <w:szCs w:val="20"/>
          </w:rPr>
        </w:r>
        <w:r w:rsidR="00E22CE6" w:rsidRPr="00E22CE6">
          <w:rPr>
            <w:rFonts w:cs="Tahoma"/>
            <w:noProof/>
            <w:webHidden/>
            <w:szCs w:val="20"/>
          </w:rPr>
          <w:fldChar w:fldCharType="separate"/>
        </w:r>
        <w:r w:rsidR="00E873AF">
          <w:rPr>
            <w:rFonts w:cs="Tahoma"/>
            <w:noProof/>
            <w:webHidden/>
            <w:szCs w:val="20"/>
          </w:rPr>
          <w:t>69</w:t>
        </w:r>
        <w:r w:rsidR="00E22CE6" w:rsidRPr="00E22CE6">
          <w:rPr>
            <w:rFonts w:cs="Tahoma"/>
            <w:noProof/>
            <w:webHidden/>
            <w:szCs w:val="20"/>
          </w:rPr>
          <w:fldChar w:fldCharType="end"/>
        </w:r>
      </w:hyperlink>
    </w:p>
    <w:p w14:paraId="47772D15" w14:textId="3A6D660F" w:rsidR="00E22CE6" w:rsidRPr="00E22CE6" w:rsidRDefault="00000000" w:rsidP="00E22CE6">
      <w:pPr>
        <w:pStyle w:val="Sommario3"/>
        <w:spacing w:before="60" w:after="60" w:line="326" w:lineRule="auto"/>
        <w:rPr>
          <w:rFonts w:eastAsiaTheme="minorEastAsia"/>
          <w:i w:val="0"/>
          <w:kern w:val="2"/>
          <w14:ligatures w14:val="standardContextual"/>
        </w:rPr>
      </w:pPr>
      <w:hyperlink w:anchor="_Toc161933217" w:history="1">
        <w:r w:rsidR="00E22CE6" w:rsidRPr="00E22CE6">
          <w:rPr>
            <w:rStyle w:val="Collegamentoipertestuale"/>
            <w:rFonts w:cs="Tahoma"/>
          </w:rPr>
          <w:t>8.5.1 Immobile in un Paese europeo</w:t>
        </w:r>
        <w:r w:rsidR="00E22CE6" w:rsidRPr="00E22CE6">
          <w:rPr>
            <w:webHidden/>
          </w:rPr>
          <w:tab/>
        </w:r>
        <w:r w:rsidR="00E22CE6" w:rsidRPr="00E22CE6">
          <w:rPr>
            <w:webHidden/>
          </w:rPr>
          <w:fldChar w:fldCharType="begin"/>
        </w:r>
        <w:r w:rsidR="00E22CE6" w:rsidRPr="00E22CE6">
          <w:rPr>
            <w:webHidden/>
          </w:rPr>
          <w:instrText xml:space="preserve"> PAGEREF _Toc161933217 \h </w:instrText>
        </w:r>
        <w:r w:rsidR="00E22CE6" w:rsidRPr="00E22CE6">
          <w:rPr>
            <w:webHidden/>
          </w:rPr>
        </w:r>
        <w:r w:rsidR="00E22CE6" w:rsidRPr="00E22CE6">
          <w:rPr>
            <w:webHidden/>
          </w:rPr>
          <w:fldChar w:fldCharType="separate"/>
        </w:r>
        <w:r w:rsidR="00E873AF">
          <w:rPr>
            <w:webHidden/>
          </w:rPr>
          <w:t>69</w:t>
        </w:r>
        <w:r w:rsidR="00E22CE6" w:rsidRPr="00E22CE6">
          <w:rPr>
            <w:webHidden/>
          </w:rPr>
          <w:fldChar w:fldCharType="end"/>
        </w:r>
      </w:hyperlink>
    </w:p>
    <w:p w14:paraId="42094A02" w14:textId="6D126151" w:rsidR="00E22CE6" w:rsidRPr="00E22CE6" w:rsidRDefault="00000000" w:rsidP="00E22CE6">
      <w:pPr>
        <w:pStyle w:val="Sommario3"/>
        <w:spacing w:before="60" w:after="60" w:line="326" w:lineRule="auto"/>
        <w:rPr>
          <w:rFonts w:eastAsiaTheme="minorEastAsia"/>
          <w:i w:val="0"/>
          <w:kern w:val="2"/>
          <w14:ligatures w14:val="standardContextual"/>
        </w:rPr>
      </w:pPr>
      <w:hyperlink w:anchor="_Toc161933218" w:history="1">
        <w:r w:rsidR="00E22CE6" w:rsidRPr="00E22CE6">
          <w:rPr>
            <w:rStyle w:val="Collegamentoipertestuale"/>
            <w:rFonts w:cs="Tahoma"/>
          </w:rPr>
          <w:t>8.5.2 Immobile in un Paese extra UE</w:t>
        </w:r>
        <w:r w:rsidR="00E22CE6" w:rsidRPr="00E22CE6">
          <w:rPr>
            <w:webHidden/>
          </w:rPr>
          <w:tab/>
        </w:r>
        <w:r w:rsidR="00E22CE6" w:rsidRPr="00E22CE6">
          <w:rPr>
            <w:webHidden/>
          </w:rPr>
          <w:fldChar w:fldCharType="begin"/>
        </w:r>
        <w:r w:rsidR="00E22CE6" w:rsidRPr="00E22CE6">
          <w:rPr>
            <w:webHidden/>
          </w:rPr>
          <w:instrText xml:space="preserve"> PAGEREF _Toc161933218 \h </w:instrText>
        </w:r>
        <w:r w:rsidR="00E22CE6" w:rsidRPr="00E22CE6">
          <w:rPr>
            <w:webHidden/>
          </w:rPr>
        </w:r>
        <w:r w:rsidR="00E22CE6" w:rsidRPr="00E22CE6">
          <w:rPr>
            <w:webHidden/>
          </w:rPr>
          <w:fldChar w:fldCharType="separate"/>
        </w:r>
        <w:r w:rsidR="00E873AF">
          <w:rPr>
            <w:webHidden/>
          </w:rPr>
          <w:t>69</w:t>
        </w:r>
        <w:r w:rsidR="00E22CE6" w:rsidRPr="00E22CE6">
          <w:rPr>
            <w:webHidden/>
          </w:rPr>
          <w:fldChar w:fldCharType="end"/>
        </w:r>
      </w:hyperlink>
    </w:p>
    <w:p w14:paraId="7968FE39" w14:textId="419AFCC9" w:rsidR="00E22CE6" w:rsidRPr="00E22CE6" w:rsidRDefault="00000000" w:rsidP="00E22CE6">
      <w:pPr>
        <w:pStyle w:val="Sommario3"/>
        <w:spacing w:before="60" w:after="60" w:line="326" w:lineRule="auto"/>
        <w:rPr>
          <w:rFonts w:eastAsiaTheme="minorEastAsia"/>
          <w:i w:val="0"/>
          <w:kern w:val="2"/>
          <w14:ligatures w14:val="standardContextual"/>
        </w:rPr>
      </w:pPr>
      <w:hyperlink w:anchor="_Toc161933219" w:history="1">
        <w:r w:rsidR="00E22CE6" w:rsidRPr="00E22CE6">
          <w:rPr>
            <w:rStyle w:val="Collegamentoipertestuale"/>
            <w:rFonts w:cs="Tahoma"/>
          </w:rPr>
          <w:t>8.5.3 Immobile in comproprietà</w:t>
        </w:r>
        <w:r w:rsidR="00E22CE6" w:rsidRPr="00E22CE6">
          <w:rPr>
            <w:webHidden/>
          </w:rPr>
          <w:tab/>
        </w:r>
        <w:r w:rsidR="00E22CE6" w:rsidRPr="00E22CE6">
          <w:rPr>
            <w:webHidden/>
          </w:rPr>
          <w:fldChar w:fldCharType="begin"/>
        </w:r>
        <w:r w:rsidR="00E22CE6" w:rsidRPr="00E22CE6">
          <w:rPr>
            <w:webHidden/>
          </w:rPr>
          <w:instrText xml:space="preserve"> PAGEREF _Toc161933219 \h </w:instrText>
        </w:r>
        <w:r w:rsidR="00E22CE6" w:rsidRPr="00E22CE6">
          <w:rPr>
            <w:webHidden/>
          </w:rPr>
        </w:r>
        <w:r w:rsidR="00E22CE6" w:rsidRPr="00E22CE6">
          <w:rPr>
            <w:webHidden/>
          </w:rPr>
          <w:fldChar w:fldCharType="separate"/>
        </w:r>
        <w:r w:rsidR="00E873AF">
          <w:rPr>
            <w:webHidden/>
          </w:rPr>
          <w:t>70</w:t>
        </w:r>
        <w:r w:rsidR="00E22CE6" w:rsidRPr="00E22CE6">
          <w:rPr>
            <w:webHidden/>
          </w:rPr>
          <w:fldChar w:fldCharType="end"/>
        </w:r>
      </w:hyperlink>
    </w:p>
    <w:p w14:paraId="4BEDC632" w14:textId="4DA639F9" w:rsidR="00E22CE6" w:rsidRPr="00E22CE6" w:rsidRDefault="00000000" w:rsidP="00E22CE6">
      <w:pPr>
        <w:pStyle w:val="Sommario3"/>
        <w:spacing w:before="60" w:after="60" w:line="326" w:lineRule="auto"/>
        <w:rPr>
          <w:rFonts w:eastAsiaTheme="minorEastAsia"/>
          <w:i w:val="0"/>
          <w:kern w:val="2"/>
          <w14:ligatures w14:val="standardContextual"/>
        </w:rPr>
      </w:pPr>
      <w:hyperlink w:anchor="_Toc161933220" w:history="1">
        <w:r w:rsidR="00E22CE6" w:rsidRPr="00E22CE6">
          <w:rPr>
            <w:rStyle w:val="Collegamentoipertestuale"/>
            <w:rFonts w:cs="Tahoma"/>
          </w:rPr>
          <w:t>8.5.4 Conto corrente in comproprietà</w:t>
        </w:r>
        <w:r w:rsidR="00E22CE6" w:rsidRPr="00E22CE6">
          <w:rPr>
            <w:webHidden/>
          </w:rPr>
          <w:tab/>
        </w:r>
        <w:r w:rsidR="00E22CE6" w:rsidRPr="00E22CE6">
          <w:rPr>
            <w:webHidden/>
          </w:rPr>
          <w:fldChar w:fldCharType="begin"/>
        </w:r>
        <w:r w:rsidR="00E22CE6" w:rsidRPr="00E22CE6">
          <w:rPr>
            <w:webHidden/>
          </w:rPr>
          <w:instrText xml:space="preserve"> PAGEREF _Toc161933220 \h </w:instrText>
        </w:r>
        <w:r w:rsidR="00E22CE6" w:rsidRPr="00E22CE6">
          <w:rPr>
            <w:webHidden/>
          </w:rPr>
        </w:r>
        <w:r w:rsidR="00E22CE6" w:rsidRPr="00E22CE6">
          <w:rPr>
            <w:webHidden/>
          </w:rPr>
          <w:fldChar w:fldCharType="separate"/>
        </w:r>
        <w:r w:rsidR="00E873AF">
          <w:rPr>
            <w:webHidden/>
          </w:rPr>
          <w:t>71</w:t>
        </w:r>
        <w:r w:rsidR="00E22CE6" w:rsidRPr="00E22CE6">
          <w:rPr>
            <w:webHidden/>
          </w:rPr>
          <w:fldChar w:fldCharType="end"/>
        </w:r>
      </w:hyperlink>
    </w:p>
    <w:p w14:paraId="7BD93ECF" w14:textId="250E3951" w:rsidR="00E22CE6" w:rsidRPr="00E22CE6" w:rsidRDefault="00000000" w:rsidP="00E22CE6">
      <w:pPr>
        <w:pStyle w:val="Sommario3"/>
        <w:spacing w:before="60" w:after="60" w:line="326" w:lineRule="auto"/>
        <w:rPr>
          <w:rFonts w:eastAsiaTheme="minorEastAsia"/>
          <w:i w:val="0"/>
          <w:kern w:val="2"/>
          <w14:ligatures w14:val="standardContextual"/>
        </w:rPr>
      </w:pPr>
      <w:hyperlink w:anchor="_Toc161933221" w:history="1">
        <w:r w:rsidR="00E22CE6" w:rsidRPr="00E22CE6">
          <w:rPr>
            <w:rStyle w:val="Collegamentoipertestuale"/>
            <w:rFonts w:cs="Tahoma"/>
          </w:rPr>
          <w:t>8.5.5 Obbligazioni</w:t>
        </w:r>
        <w:r w:rsidR="00E22CE6" w:rsidRPr="00E22CE6">
          <w:rPr>
            <w:webHidden/>
          </w:rPr>
          <w:tab/>
        </w:r>
        <w:r w:rsidR="00E22CE6" w:rsidRPr="00E22CE6">
          <w:rPr>
            <w:webHidden/>
          </w:rPr>
          <w:fldChar w:fldCharType="begin"/>
        </w:r>
        <w:r w:rsidR="00E22CE6" w:rsidRPr="00E22CE6">
          <w:rPr>
            <w:webHidden/>
          </w:rPr>
          <w:instrText xml:space="preserve"> PAGEREF _Toc161933221 \h </w:instrText>
        </w:r>
        <w:r w:rsidR="00E22CE6" w:rsidRPr="00E22CE6">
          <w:rPr>
            <w:webHidden/>
          </w:rPr>
        </w:r>
        <w:r w:rsidR="00E22CE6" w:rsidRPr="00E22CE6">
          <w:rPr>
            <w:webHidden/>
          </w:rPr>
          <w:fldChar w:fldCharType="separate"/>
        </w:r>
        <w:r w:rsidR="00E873AF">
          <w:rPr>
            <w:webHidden/>
          </w:rPr>
          <w:t>72</w:t>
        </w:r>
        <w:r w:rsidR="00E22CE6" w:rsidRPr="00E22CE6">
          <w:rPr>
            <w:webHidden/>
          </w:rPr>
          <w:fldChar w:fldCharType="end"/>
        </w:r>
      </w:hyperlink>
    </w:p>
    <w:p w14:paraId="584B7273" w14:textId="471E3634" w:rsidR="00E22CE6" w:rsidRPr="00E22CE6" w:rsidRDefault="00000000" w:rsidP="00E22CE6">
      <w:pPr>
        <w:pStyle w:val="Sommario1"/>
        <w:rPr>
          <w:rFonts w:eastAsiaTheme="minorEastAsia"/>
          <w:b w:val="0"/>
          <w:kern w:val="2"/>
          <w14:ligatures w14:val="standardContextual"/>
        </w:rPr>
      </w:pPr>
      <w:hyperlink w:anchor="_Toc161933222" w:history="1">
        <w:r w:rsidR="00E22CE6" w:rsidRPr="00E22CE6">
          <w:rPr>
            <w:rStyle w:val="Collegamentoipertestuale"/>
            <w:rFonts w:cs="Tahoma"/>
          </w:rPr>
          <w:t>9. Le imposte patrimoniali estere</w:t>
        </w:r>
        <w:r w:rsidR="00E22CE6" w:rsidRPr="00E22CE6">
          <w:rPr>
            <w:webHidden/>
          </w:rPr>
          <w:tab/>
        </w:r>
        <w:r w:rsidR="00E22CE6" w:rsidRPr="00E22CE6">
          <w:rPr>
            <w:webHidden/>
          </w:rPr>
          <w:fldChar w:fldCharType="begin"/>
        </w:r>
        <w:r w:rsidR="00E22CE6" w:rsidRPr="00E22CE6">
          <w:rPr>
            <w:webHidden/>
          </w:rPr>
          <w:instrText xml:space="preserve"> PAGEREF _Toc161933222 \h </w:instrText>
        </w:r>
        <w:r w:rsidR="00E22CE6" w:rsidRPr="00E22CE6">
          <w:rPr>
            <w:webHidden/>
          </w:rPr>
        </w:r>
        <w:r w:rsidR="00E22CE6" w:rsidRPr="00E22CE6">
          <w:rPr>
            <w:webHidden/>
          </w:rPr>
          <w:fldChar w:fldCharType="separate"/>
        </w:r>
        <w:r w:rsidR="00E873AF">
          <w:rPr>
            <w:webHidden/>
          </w:rPr>
          <w:t>73</w:t>
        </w:r>
        <w:r w:rsidR="00E22CE6" w:rsidRPr="00E22CE6">
          <w:rPr>
            <w:webHidden/>
          </w:rPr>
          <w:fldChar w:fldCharType="end"/>
        </w:r>
      </w:hyperlink>
    </w:p>
    <w:p w14:paraId="61728B4E" w14:textId="71770784" w:rsidR="00E22CE6" w:rsidRPr="00E22CE6" w:rsidRDefault="00000000" w:rsidP="00E22CE6">
      <w:pPr>
        <w:pStyle w:val="Sommario2"/>
        <w:tabs>
          <w:tab w:val="right" w:leader="dot" w:pos="9202"/>
        </w:tabs>
        <w:spacing w:before="60" w:after="60" w:line="326" w:lineRule="auto"/>
        <w:rPr>
          <w:rFonts w:eastAsiaTheme="minorEastAsia" w:cs="Tahoma"/>
          <w:noProof/>
          <w:kern w:val="2"/>
          <w:szCs w:val="20"/>
          <w14:ligatures w14:val="standardContextual"/>
        </w:rPr>
      </w:pPr>
      <w:hyperlink w:anchor="_Toc161933223" w:history="1">
        <w:r w:rsidR="00E22CE6" w:rsidRPr="00E22CE6">
          <w:rPr>
            <w:rStyle w:val="Collegamentoipertestuale"/>
            <w:rFonts w:cs="Tahoma"/>
            <w:noProof/>
            <w:szCs w:val="20"/>
          </w:rPr>
          <w:t>9.1 IVIE</w:t>
        </w:r>
        <w:r w:rsidR="00E22CE6" w:rsidRPr="00E22CE6">
          <w:rPr>
            <w:rFonts w:cs="Tahoma"/>
            <w:noProof/>
            <w:webHidden/>
            <w:szCs w:val="20"/>
          </w:rPr>
          <w:tab/>
        </w:r>
        <w:r w:rsidR="00E22CE6" w:rsidRPr="00E22CE6">
          <w:rPr>
            <w:rFonts w:cs="Tahoma"/>
            <w:noProof/>
            <w:webHidden/>
            <w:szCs w:val="20"/>
          </w:rPr>
          <w:fldChar w:fldCharType="begin"/>
        </w:r>
        <w:r w:rsidR="00E22CE6" w:rsidRPr="00E22CE6">
          <w:rPr>
            <w:rFonts w:cs="Tahoma"/>
            <w:noProof/>
            <w:webHidden/>
            <w:szCs w:val="20"/>
          </w:rPr>
          <w:instrText xml:space="preserve"> PAGEREF _Toc161933223 \h </w:instrText>
        </w:r>
        <w:r w:rsidR="00E22CE6" w:rsidRPr="00E22CE6">
          <w:rPr>
            <w:rFonts w:cs="Tahoma"/>
            <w:noProof/>
            <w:webHidden/>
            <w:szCs w:val="20"/>
          </w:rPr>
        </w:r>
        <w:r w:rsidR="00E22CE6" w:rsidRPr="00E22CE6">
          <w:rPr>
            <w:rFonts w:cs="Tahoma"/>
            <w:noProof/>
            <w:webHidden/>
            <w:szCs w:val="20"/>
          </w:rPr>
          <w:fldChar w:fldCharType="separate"/>
        </w:r>
        <w:r w:rsidR="00E873AF">
          <w:rPr>
            <w:rFonts w:cs="Tahoma"/>
            <w:noProof/>
            <w:webHidden/>
            <w:szCs w:val="20"/>
          </w:rPr>
          <w:t>73</w:t>
        </w:r>
        <w:r w:rsidR="00E22CE6" w:rsidRPr="00E22CE6">
          <w:rPr>
            <w:rFonts w:cs="Tahoma"/>
            <w:noProof/>
            <w:webHidden/>
            <w:szCs w:val="20"/>
          </w:rPr>
          <w:fldChar w:fldCharType="end"/>
        </w:r>
      </w:hyperlink>
    </w:p>
    <w:p w14:paraId="02570DE6" w14:textId="010C1126" w:rsidR="00E22CE6" w:rsidRPr="00E22CE6" w:rsidRDefault="00000000" w:rsidP="00E22CE6">
      <w:pPr>
        <w:pStyle w:val="Sommario3"/>
        <w:spacing w:before="60" w:after="60" w:line="326" w:lineRule="auto"/>
        <w:rPr>
          <w:rFonts w:eastAsiaTheme="minorEastAsia"/>
          <w:i w:val="0"/>
          <w:kern w:val="2"/>
          <w14:ligatures w14:val="standardContextual"/>
        </w:rPr>
      </w:pPr>
      <w:hyperlink w:anchor="_Toc161933224" w:history="1">
        <w:r w:rsidR="00E22CE6" w:rsidRPr="00E22CE6">
          <w:rPr>
            <w:rStyle w:val="Collegamentoipertestuale"/>
            <w:rFonts w:cs="Tahoma"/>
          </w:rPr>
          <w:t>9.1.1 Soggetti passivi</w:t>
        </w:r>
        <w:r w:rsidR="00E22CE6" w:rsidRPr="00E22CE6">
          <w:rPr>
            <w:webHidden/>
          </w:rPr>
          <w:tab/>
        </w:r>
        <w:r w:rsidR="00E22CE6" w:rsidRPr="00E22CE6">
          <w:rPr>
            <w:webHidden/>
          </w:rPr>
          <w:fldChar w:fldCharType="begin"/>
        </w:r>
        <w:r w:rsidR="00E22CE6" w:rsidRPr="00E22CE6">
          <w:rPr>
            <w:webHidden/>
          </w:rPr>
          <w:instrText xml:space="preserve"> PAGEREF _Toc161933224 \h </w:instrText>
        </w:r>
        <w:r w:rsidR="00E22CE6" w:rsidRPr="00E22CE6">
          <w:rPr>
            <w:webHidden/>
          </w:rPr>
        </w:r>
        <w:r w:rsidR="00E22CE6" w:rsidRPr="00E22CE6">
          <w:rPr>
            <w:webHidden/>
          </w:rPr>
          <w:fldChar w:fldCharType="separate"/>
        </w:r>
        <w:r w:rsidR="00E873AF">
          <w:rPr>
            <w:webHidden/>
          </w:rPr>
          <w:t>73</w:t>
        </w:r>
        <w:r w:rsidR="00E22CE6" w:rsidRPr="00E22CE6">
          <w:rPr>
            <w:webHidden/>
          </w:rPr>
          <w:fldChar w:fldCharType="end"/>
        </w:r>
      </w:hyperlink>
    </w:p>
    <w:p w14:paraId="60BCECDF" w14:textId="13D0BC98" w:rsidR="00E22CE6" w:rsidRPr="00E22CE6" w:rsidRDefault="00000000" w:rsidP="00E22CE6">
      <w:pPr>
        <w:pStyle w:val="Sommario3"/>
        <w:spacing w:before="60" w:after="60" w:line="326" w:lineRule="auto"/>
        <w:rPr>
          <w:rFonts w:eastAsiaTheme="minorEastAsia"/>
          <w:i w:val="0"/>
          <w:kern w:val="2"/>
          <w14:ligatures w14:val="standardContextual"/>
        </w:rPr>
      </w:pPr>
      <w:hyperlink w:anchor="_Toc161933225" w:history="1">
        <w:r w:rsidR="00E22CE6" w:rsidRPr="00E22CE6">
          <w:rPr>
            <w:rStyle w:val="Collegamentoipertestuale"/>
            <w:rFonts w:cs="Tahoma"/>
          </w:rPr>
          <w:t>9.1.2 Aliquota e base imponibile</w:t>
        </w:r>
        <w:r w:rsidR="00E22CE6" w:rsidRPr="00E22CE6">
          <w:rPr>
            <w:webHidden/>
          </w:rPr>
          <w:tab/>
        </w:r>
        <w:r w:rsidR="00E22CE6" w:rsidRPr="00E22CE6">
          <w:rPr>
            <w:webHidden/>
          </w:rPr>
          <w:fldChar w:fldCharType="begin"/>
        </w:r>
        <w:r w:rsidR="00E22CE6" w:rsidRPr="00E22CE6">
          <w:rPr>
            <w:webHidden/>
          </w:rPr>
          <w:instrText xml:space="preserve"> PAGEREF _Toc161933225 \h </w:instrText>
        </w:r>
        <w:r w:rsidR="00E22CE6" w:rsidRPr="00E22CE6">
          <w:rPr>
            <w:webHidden/>
          </w:rPr>
        </w:r>
        <w:r w:rsidR="00E22CE6" w:rsidRPr="00E22CE6">
          <w:rPr>
            <w:webHidden/>
          </w:rPr>
          <w:fldChar w:fldCharType="separate"/>
        </w:r>
        <w:r w:rsidR="00E873AF">
          <w:rPr>
            <w:webHidden/>
          </w:rPr>
          <w:t>74</w:t>
        </w:r>
        <w:r w:rsidR="00E22CE6" w:rsidRPr="00E22CE6">
          <w:rPr>
            <w:webHidden/>
          </w:rPr>
          <w:fldChar w:fldCharType="end"/>
        </w:r>
      </w:hyperlink>
    </w:p>
    <w:p w14:paraId="4AD80952" w14:textId="29F2FF89" w:rsidR="00E22CE6" w:rsidRPr="00E22CE6" w:rsidRDefault="00000000" w:rsidP="00E22CE6">
      <w:pPr>
        <w:pStyle w:val="Sommario3"/>
        <w:spacing w:before="60" w:after="60" w:line="326" w:lineRule="auto"/>
        <w:rPr>
          <w:rFonts w:eastAsiaTheme="minorEastAsia"/>
          <w:i w:val="0"/>
          <w:kern w:val="2"/>
          <w14:ligatures w14:val="standardContextual"/>
        </w:rPr>
      </w:pPr>
      <w:hyperlink w:anchor="_Toc161933226" w:history="1">
        <w:r w:rsidR="00E22CE6" w:rsidRPr="00E22CE6">
          <w:rPr>
            <w:rStyle w:val="Collegamentoipertestuale"/>
            <w:rFonts w:cs="Tahoma"/>
          </w:rPr>
          <w:t>9.1.3 Esclusione dall’IRPEF degli immobili esteri non locati</w:t>
        </w:r>
        <w:r w:rsidR="00E22CE6" w:rsidRPr="00E22CE6">
          <w:rPr>
            <w:webHidden/>
          </w:rPr>
          <w:tab/>
        </w:r>
        <w:r w:rsidR="00E22CE6" w:rsidRPr="00E22CE6">
          <w:rPr>
            <w:webHidden/>
          </w:rPr>
          <w:fldChar w:fldCharType="begin"/>
        </w:r>
        <w:r w:rsidR="00E22CE6" w:rsidRPr="00E22CE6">
          <w:rPr>
            <w:webHidden/>
          </w:rPr>
          <w:instrText xml:space="preserve"> PAGEREF _Toc161933226 \h </w:instrText>
        </w:r>
        <w:r w:rsidR="00E22CE6" w:rsidRPr="00E22CE6">
          <w:rPr>
            <w:webHidden/>
          </w:rPr>
        </w:r>
        <w:r w:rsidR="00E22CE6" w:rsidRPr="00E22CE6">
          <w:rPr>
            <w:webHidden/>
          </w:rPr>
          <w:fldChar w:fldCharType="separate"/>
        </w:r>
        <w:r w:rsidR="00E873AF">
          <w:rPr>
            <w:webHidden/>
          </w:rPr>
          <w:t>75</w:t>
        </w:r>
        <w:r w:rsidR="00E22CE6" w:rsidRPr="00E22CE6">
          <w:rPr>
            <w:webHidden/>
          </w:rPr>
          <w:fldChar w:fldCharType="end"/>
        </w:r>
      </w:hyperlink>
    </w:p>
    <w:p w14:paraId="5CEA6541" w14:textId="7E003126" w:rsidR="00E22CE6" w:rsidRPr="00E22CE6" w:rsidRDefault="00000000" w:rsidP="00E22CE6">
      <w:pPr>
        <w:pStyle w:val="Sommario3"/>
        <w:spacing w:before="60" w:after="60" w:line="326" w:lineRule="auto"/>
        <w:rPr>
          <w:rFonts w:eastAsiaTheme="minorEastAsia"/>
          <w:i w:val="0"/>
          <w:kern w:val="2"/>
          <w14:ligatures w14:val="standardContextual"/>
        </w:rPr>
      </w:pPr>
      <w:hyperlink w:anchor="_Toc161933227" w:history="1">
        <w:r w:rsidR="00E22CE6" w:rsidRPr="00E22CE6">
          <w:rPr>
            <w:rStyle w:val="Collegamentoipertestuale"/>
            <w:rFonts w:cs="Tahoma"/>
          </w:rPr>
          <w:t>9.1.4 Abitazione principale all’estero</w:t>
        </w:r>
        <w:r w:rsidR="00E22CE6" w:rsidRPr="00E22CE6">
          <w:rPr>
            <w:webHidden/>
          </w:rPr>
          <w:tab/>
        </w:r>
        <w:r w:rsidR="00E22CE6" w:rsidRPr="00E22CE6">
          <w:rPr>
            <w:webHidden/>
          </w:rPr>
          <w:fldChar w:fldCharType="begin"/>
        </w:r>
        <w:r w:rsidR="00E22CE6" w:rsidRPr="00E22CE6">
          <w:rPr>
            <w:webHidden/>
          </w:rPr>
          <w:instrText xml:space="preserve"> PAGEREF _Toc161933227 \h </w:instrText>
        </w:r>
        <w:r w:rsidR="00E22CE6" w:rsidRPr="00E22CE6">
          <w:rPr>
            <w:webHidden/>
          </w:rPr>
        </w:r>
        <w:r w:rsidR="00E22CE6" w:rsidRPr="00E22CE6">
          <w:rPr>
            <w:webHidden/>
          </w:rPr>
          <w:fldChar w:fldCharType="separate"/>
        </w:r>
        <w:r w:rsidR="00E873AF">
          <w:rPr>
            <w:webHidden/>
          </w:rPr>
          <w:t>75</w:t>
        </w:r>
        <w:r w:rsidR="00E22CE6" w:rsidRPr="00E22CE6">
          <w:rPr>
            <w:webHidden/>
          </w:rPr>
          <w:fldChar w:fldCharType="end"/>
        </w:r>
      </w:hyperlink>
    </w:p>
    <w:p w14:paraId="273B5FFB" w14:textId="55F97FAE" w:rsidR="00E22CE6" w:rsidRPr="00E22CE6" w:rsidRDefault="00000000" w:rsidP="00E22CE6">
      <w:pPr>
        <w:pStyle w:val="Sommario3"/>
        <w:spacing w:before="60" w:after="60" w:line="326" w:lineRule="auto"/>
        <w:rPr>
          <w:rFonts w:eastAsiaTheme="minorEastAsia"/>
          <w:i w:val="0"/>
          <w:kern w:val="2"/>
          <w14:ligatures w14:val="standardContextual"/>
        </w:rPr>
      </w:pPr>
      <w:hyperlink w:anchor="_Toc161933228" w:history="1">
        <w:r w:rsidR="00E22CE6" w:rsidRPr="00E22CE6">
          <w:rPr>
            <w:rStyle w:val="Collegamentoipertestuale"/>
            <w:rFonts w:cs="Tahoma"/>
          </w:rPr>
          <w:t>9.1.5 Determinazione dell’imposta e del credito di imposta</w:t>
        </w:r>
        <w:r w:rsidR="00E22CE6" w:rsidRPr="00E22CE6">
          <w:rPr>
            <w:webHidden/>
          </w:rPr>
          <w:tab/>
        </w:r>
        <w:r w:rsidR="00E22CE6" w:rsidRPr="00E22CE6">
          <w:rPr>
            <w:webHidden/>
          </w:rPr>
          <w:fldChar w:fldCharType="begin"/>
        </w:r>
        <w:r w:rsidR="00E22CE6" w:rsidRPr="00E22CE6">
          <w:rPr>
            <w:webHidden/>
          </w:rPr>
          <w:instrText xml:space="preserve"> PAGEREF _Toc161933228 \h </w:instrText>
        </w:r>
        <w:r w:rsidR="00E22CE6" w:rsidRPr="00E22CE6">
          <w:rPr>
            <w:webHidden/>
          </w:rPr>
        </w:r>
        <w:r w:rsidR="00E22CE6" w:rsidRPr="00E22CE6">
          <w:rPr>
            <w:webHidden/>
          </w:rPr>
          <w:fldChar w:fldCharType="separate"/>
        </w:r>
        <w:r w:rsidR="00E873AF">
          <w:rPr>
            <w:webHidden/>
          </w:rPr>
          <w:t>75</w:t>
        </w:r>
        <w:r w:rsidR="00E22CE6" w:rsidRPr="00E22CE6">
          <w:rPr>
            <w:webHidden/>
          </w:rPr>
          <w:fldChar w:fldCharType="end"/>
        </w:r>
      </w:hyperlink>
    </w:p>
    <w:p w14:paraId="2BDDF335" w14:textId="36391B2D" w:rsidR="00E22CE6" w:rsidRPr="00E22CE6" w:rsidRDefault="00000000" w:rsidP="00E22CE6">
      <w:pPr>
        <w:pStyle w:val="Sommario3"/>
        <w:spacing w:before="60" w:after="60" w:line="326" w:lineRule="auto"/>
        <w:rPr>
          <w:rFonts w:eastAsiaTheme="minorEastAsia"/>
          <w:i w:val="0"/>
          <w:kern w:val="2"/>
          <w14:ligatures w14:val="standardContextual"/>
        </w:rPr>
      </w:pPr>
      <w:hyperlink w:anchor="_Toc161933229" w:history="1">
        <w:r w:rsidR="00E22CE6" w:rsidRPr="00E22CE6">
          <w:rPr>
            <w:rStyle w:val="Collegamentoipertestuale"/>
            <w:rFonts w:cs="Tahoma"/>
          </w:rPr>
          <w:t>9.1.6 Versamento, liquidazione, accertamento e riscossione</w:t>
        </w:r>
        <w:r w:rsidR="00E22CE6" w:rsidRPr="00E22CE6">
          <w:rPr>
            <w:webHidden/>
          </w:rPr>
          <w:tab/>
        </w:r>
        <w:r w:rsidR="00E22CE6" w:rsidRPr="00E22CE6">
          <w:rPr>
            <w:webHidden/>
          </w:rPr>
          <w:fldChar w:fldCharType="begin"/>
        </w:r>
        <w:r w:rsidR="00E22CE6" w:rsidRPr="00E22CE6">
          <w:rPr>
            <w:webHidden/>
          </w:rPr>
          <w:instrText xml:space="preserve"> PAGEREF _Toc161933229 \h </w:instrText>
        </w:r>
        <w:r w:rsidR="00E22CE6" w:rsidRPr="00E22CE6">
          <w:rPr>
            <w:webHidden/>
          </w:rPr>
        </w:r>
        <w:r w:rsidR="00E22CE6" w:rsidRPr="00E22CE6">
          <w:rPr>
            <w:webHidden/>
          </w:rPr>
          <w:fldChar w:fldCharType="separate"/>
        </w:r>
        <w:r w:rsidR="00E873AF">
          <w:rPr>
            <w:webHidden/>
          </w:rPr>
          <w:t>76</w:t>
        </w:r>
        <w:r w:rsidR="00E22CE6" w:rsidRPr="00E22CE6">
          <w:rPr>
            <w:webHidden/>
          </w:rPr>
          <w:fldChar w:fldCharType="end"/>
        </w:r>
      </w:hyperlink>
    </w:p>
    <w:p w14:paraId="7CC7F59E" w14:textId="3AC3CB65" w:rsidR="00E22CE6" w:rsidRPr="00E22CE6" w:rsidRDefault="00000000" w:rsidP="00E22CE6">
      <w:pPr>
        <w:pStyle w:val="Sommario3"/>
        <w:spacing w:before="60" w:after="60" w:line="326" w:lineRule="auto"/>
        <w:rPr>
          <w:rFonts w:eastAsiaTheme="minorEastAsia"/>
          <w:i w:val="0"/>
          <w:kern w:val="2"/>
          <w14:ligatures w14:val="standardContextual"/>
        </w:rPr>
      </w:pPr>
      <w:hyperlink w:anchor="_Toc161933230" w:history="1">
        <w:r w:rsidR="00E22CE6" w:rsidRPr="00E22CE6">
          <w:rPr>
            <w:rStyle w:val="Collegamentoipertestuale"/>
            <w:rFonts w:cs="Tahoma"/>
          </w:rPr>
          <w:t>9.1.7 Esempio calcolo IVIE</w:t>
        </w:r>
        <w:r w:rsidR="00E22CE6" w:rsidRPr="00E22CE6">
          <w:rPr>
            <w:webHidden/>
          </w:rPr>
          <w:tab/>
        </w:r>
        <w:r w:rsidR="00E22CE6" w:rsidRPr="00E22CE6">
          <w:rPr>
            <w:webHidden/>
          </w:rPr>
          <w:fldChar w:fldCharType="begin"/>
        </w:r>
        <w:r w:rsidR="00E22CE6" w:rsidRPr="00E22CE6">
          <w:rPr>
            <w:webHidden/>
          </w:rPr>
          <w:instrText xml:space="preserve"> PAGEREF _Toc161933230 \h </w:instrText>
        </w:r>
        <w:r w:rsidR="00E22CE6" w:rsidRPr="00E22CE6">
          <w:rPr>
            <w:webHidden/>
          </w:rPr>
        </w:r>
        <w:r w:rsidR="00E22CE6" w:rsidRPr="00E22CE6">
          <w:rPr>
            <w:webHidden/>
          </w:rPr>
          <w:fldChar w:fldCharType="separate"/>
        </w:r>
        <w:r w:rsidR="00E873AF">
          <w:rPr>
            <w:webHidden/>
          </w:rPr>
          <w:t>76</w:t>
        </w:r>
        <w:r w:rsidR="00E22CE6" w:rsidRPr="00E22CE6">
          <w:rPr>
            <w:webHidden/>
          </w:rPr>
          <w:fldChar w:fldCharType="end"/>
        </w:r>
      </w:hyperlink>
    </w:p>
    <w:p w14:paraId="1E26A589" w14:textId="3FC353CC" w:rsidR="00E22CE6" w:rsidRPr="00E22CE6" w:rsidRDefault="00000000" w:rsidP="00E22CE6">
      <w:pPr>
        <w:pStyle w:val="Sommario3"/>
        <w:spacing w:before="60" w:after="60" w:line="326" w:lineRule="auto"/>
        <w:rPr>
          <w:rFonts w:eastAsiaTheme="minorEastAsia"/>
          <w:i w:val="0"/>
          <w:kern w:val="2"/>
          <w14:ligatures w14:val="standardContextual"/>
        </w:rPr>
      </w:pPr>
      <w:hyperlink w:anchor="_Toc161933231" w:history="1">
        <w:r w:rsidR="00E22CE6" w:rsidRPr="00E22CE6">
          <w:rPr>
            <w:rStyle w:val="Collegamentoipertestuale"/>
            <w:rFonts w:cs="Tahoma"/>
          </w:rPr>
          <w:t>9.1.8 Brexit ed effetti sull’IVIE</w:t>
        </w:r>
        <w:r w:rsidR="00E22CE6" w:rsidRPr="00E22CE6">
          <w:rPr>
            <w:webHidden/>
          </w:rPr>
          <w:tab/>
        </w:r>
        <w:r w:rsidR="00E22CE6" w:rsidRPr="00E22CE6">
          <w:rPr>
            <w:webHidden/>
          </w:rPr>
          <w:fldChar w:fldCharType="begin"/>
        </w:r>
        <w:r w:rsidR="00E22CE6" w:rsidRPr="00E22CE6">
          <w:rPr>
            <w:webHidden/>
          </w:rPr>
          <w:instrText xml:space="preserve"> PAGEREF _Toc161933231 \h </w:instrText>
        </w:r>
        <w:r w:rsidR="00E22CE6" w:rsidRPr="00E22CE6">
          <w:rPr>
            <w:webHidden/>
          </w:rPr>
        </w:r>
        <w:r w:rsidR="00E22CE6" w:rsidRPr="00E22CE6">
          <w:rPr>
            <w:webHidden/>
          </w:rPr>
          <w:fldChar w:fldCharType="separate"/>
        </w:r>
        <w:r w:rsidR="00E873AF">
          <w:rPr>
            <w:webHidden/>
          </w:rPr>
          <w:t>76</w:t>
        </w:r>
        <w:r w:rsidR="00E22CE6" w:rsidRPr="00E22CE6">
          <w:rPr>
            <w:webHidden/>
          </w:rPr>
          <w:fldChar w:fldCharType="end"/>
        </w:r>
      </w:hyperlink>
    </w:p>
    <w:p w14:paraId="4BA94B6A" w14:textId="1BCA397B" w:rsidR="00E22CE6" w:rsidRPr="00E22CE6" w:rsidRDefault="00000000" w:rsidP="00E22CE6">
      <w:pPr>
        <w:pStyle w:val="Sommario2"/>
        <w:tabs>
          <w:tab w:val="right" w:leader="dot" w:pos="9202"/>
        </w:tabs>
        <w:spacing w:before="60" w:after="60" w:line="326" w:lineRule="auto"/>
        <w:rPr>
          <w:rFonts w:eastAsiaTheme="minorEastAsia" w:cs="Tahoma"/>
          <w:noProof/>
          <w:kern w:val="2"/>
          <w:szCs w:val="20"/>
          <w14:ligatures w14:val="standardContextual"/>
        </w:rPr>
      </w:pPr>
      <w:hyperlink w:anchor="_Toc161933232" w:history="1">
        <w:r w:rsidR="00E22CE6" w:rsidRPr="00E22CE6">
          <w:rPr>
            <w:rStyle w:val="Collegamentoipertestuale"/>
            <w:rFonts w:cs="Tahoma"/>
            <w:noProof/>
            <w:szCs w:val="20"/>
          </w:rPr>
          <w:t>9.2 IVAFE</w:t>
        </w:r>
        <w:r w:rsidR="00E22CE6" w:rsidRPr="00E22CE6">
          <w:rPr>
            <w:rFonts w:cs="Tahoma"/>
            <w:noProof/>
            <w:webHidden/>
            <w:szCs w:val="20"/>
          </w:rPr>
          <w:tab/>
        </w:r>
        <w:r w:rsidR="00E22CE6" w:rsidRPr="00E22CE6">
          <w:rPr>
            <w:rFonts w:cs="Tahoma"/>
            <w:noProof/>
            <w:webHidden/>
            <w:szCs w:val="20"/>
          </w:rPr>
          <w:fldChar w:fldCharType="begin"/>
        </w:r>
        <w:r w:rsidR="00E22CE6" w:rsidRPr="00E22CE6">
          <w:rPr>
            <w:rFonts w:cs="Tahoma"/>
            <w:noProof/>
            <w:webHidden/>
            <w:szCs w:val="20"/>
          </w:rPr>
          <w:instrText xml:space="preserve"> PAGEREF _Toc161933232 \h </w:instrText>
        </w:r>
        <w:r w:rsidR="00E22CE6" w:rsidRPr="00E22CE6">
          <w:rPr>
            <w:rFonts w:cs="Tahoma"/>
            <w:noProof/>
            <w:webHidden/>
            <w:szCs w:val="20"/>
          </w:rPr>
        </w:r>
        <w:r w:rsidR="00E22CE6" w:rsidRPr="00E22CE6">
          <w:rPr>
            <w:rFonts w:cs="Tahoma"/>
            <w:noProof/>
            <w:webHidden/>
            <w:szCs w:val="20"/>
          </w:rPr>
          <w:fldChar w:fldCharType="separate"/>
        </w:r>
        <w:r w:rsidR="00E873AF">
          <w:rPr>
            <w:rFonts w:cs="Tahoma"/>
            <w:noProof/>
            <w:webHidden/>
            <w:szCs w:val="20"/>
          </w:rPr>
          <w:t>77</w:t>
        </w:r>
        <w:r w:rsidR="00E22CE6" w:rsidRPr="00E22CE6">
          <w:rPr>
            <w:rFonts w:cs="Tahoma"/>
            <w:noProof/>
            <w:webHidden/>
            <w:szCs w:val="20"/>
          </w:rPr>
          <w:fldChar w:fldCharType="end"/>
        </w:r>
      </w:hyperlink>
    </w:p>
    <w:p w14:paraId="38BF08C3" w14:textId="3A7DA3BB" w:rsidR="00E22CE6" w:rsidRPr="00E22CE6" w:rsidRDefault="00000000" w:rsidP="00E22CE6">
      <w:pPr>
        <w:pStyle w:val="Sommario3"/>
        <w:spacing w:before="60" w:after="60" w:line="326" w:lineRule="auto"/>
        <w:rPr>
          <w:rFonts w:eastAsiaTheme="minorEastAsia"/>
          <w:i w:val="0"/>
          <w:kern w:val="2"/>
          <w14:ligatures w14:val="standardContextual"/>
        </w:rPr>
      </w:pPr>
      <w:hyperlink w:anchor="_Toc161933233" w:history="1">
        <w:r w:rsidR="00E22CE6" w:rsidRPr="00E22CE6">
          <w:rPr>
            <w:rStyle w:val="Collegamentoipertestuale"/>
            <w:rFonts w:cs="Tahoma"/>
          </w:rPr>
          <w:t>9.2.1 Ambito oggettivo</w:t>
        </w:r>
        <w:r w:rsidR="00E22CE6" w:rsidRPr="00E22CE6">
          <w:rPr>
            <w:webHidden/>
          </w:rPr>
          <w:tab/>
        </w:r>
        <w:r w:rsidR="00E22CE6" w:rsidRPr="00E22CE6">
          <w:rPr>
            <w:webHidden/>
          </w:rPr>
          <w:fldChar w:fldCharType="begin"/>
        </w:r>
        <w:r w:rsidR="00E22CE6" w:rsidRPr="00E22CE6">
          <w:rPr>
            <w:webHidden/>
          </w:rPr>
          <w:instrText xml:space="preserve"> PAGEREF _Toc161933233 \h </w:instrText>
        </w:r>
        <w:r w:rsidR="00E22CE6" w:rsidRPr="00E22CE6">
          <w:rPr>
            <w:webHidden/>
          </w:rPr>
        </w:r>
        <w:r w:rsidR="00E22CE6" w:rsidRPr="00E22CE6">
          <w:rPr>
            <w:webHidden/>
          </w:rPr>
          <w:fldChar w:fldCharType="separate"/>
        </w:r>
        <w:r w:rsidR="00E873AF">
          <w:rPr>
            <w:webHidden/>
          </w:rPr>
          <w:t>78</w:t>
        </w:r>
        <w:r w:rsidR="00E22CE6" w:rsidRPr="00E22CE6">
          <w:rPr>
            <w:webHidden/>
          </w:rPr>
          <w:fldChar w:fldCharType="end"/>
        </w:r>
      </w:hyperlink>
    </w:p>
    <w:p w14:paraId="13BFDFDC" w14:textId="5230FD19" w:rsidR="00E22CE6" w:rsidRPr="00E22CE6" w:rsidRDefault="00000000" w:rsidP="00E22CE6">
      <w:pPr>
        <w:pStyle w:val="Sommario3"/>
        <w:spacing w:before="60" w:after="60" w:line="326" w:lineRule="auto"/>
        <w:rPr>
          <w:rFonts w:eastAsiaTheme="minorEastAsia"/>
          <w:i w:val="0"/>
          <w:kern w:val="2"/>
          <w14:ligatures w14:val="standardContextual"/>
        </w:rPr>
      </w:pPr>
      <w:hyperlink w:anchor="_Toc161933234" w:history="1">
        <w:r w:rsidR="00E22CE6" w:rsidRPr="00E22CE6">
          <w:rPr>
            <w:rStyle w:val="Collegamentoipertestuale"/>
            <w:rFonts w:cs="Tahoma"/>
          </w:rPr>
          <w:t>9.2.2 Aliquota e base imponibile</w:t>
        </w:r>
        <w:r w:rsidR="00E22CE6" w:rsidRPr="00E22CE6">
          <w:rPr>
            <w:webHidden/>
          </w:rPr>
          <w:tab/>
        </w:r>
        <w:r w:rsidR="00E22CE6" w:rsidRPr="00E22CE6">
          <w:rPr>
            <w:webHidden/>
          </w:rPr>
          <w:fldChar w:fldCharType="begin"/>
        </w:r>
        <w:r w:rsidR="00E22CE6" w:rsidRPr="00E22CE6">
          <w:rPr>
            <w:webHidden/>
          </w:rPr>
          <w:instrText xml:space="preserve"> PAGEREF _Toc161933234 \h </w:instrText>
        </w:r>
        <w:r w:rsidR="00E22CE6" w:rsidRPr="00E22CE6">
          <w:rPr>
            <w:webHidden/>
          </w:rPr>
        </w:r>
        <w:r w:rsidR="00E22CE6" w:rsidRPr="00E22CE6">
          <w:rPr>
            <w:webHidden/>
          </w:rPr>
          <w:fldChar w:fldCharType="separate"/>
        </w:r>
        <w:r w:rsidR="00E873AF">
          <w:rPr>
            <w:webHidden/>
          </w:rPr>
          <w:t>78</w:t>
        </w:r>
        <w:r w:rsidR="00E22CE6" w:rsidRPr="00E22CE6">
          <w:rPr>
            <w:webHidden/>
          </w:rPr>
          <w:fldChar w:fldCharType="end"/>
        </w:r>
      </w:hyperlink>
    </w:p>
    <w:p w14:paraId="42FBA52E" w14:textId="5BF0446A" w:rsidR="00E22CE6" w:rsidRPr="00E22CE6" w:rsidRDefault="00000000" w:rsidP="00E22CE6">
      <w:pPr>
        <w:pStyle w:val="Sommario3"/>
        <w:spacing w:before="60" w:after="60" w:line="326" w:lineRule="auto"/>
        <w:rPr>
          <w:rFonts w:eastAsiaTheme="minorEastAsia"/>
          <w:i w:val="0"/>
          <w:kern w:val="2"/>
          <w14:ligatures w14:val="standardContextual"/>
        </w:rPr>
      </w:pPr>
      <w:hyperlink w:anchor="_Toc161933235" w:history="1">
        <w:r w:rsidR="00E22CE6" w:rsidRPr="00E22CE6">
          <w:rPr>
            <w:rStyle w:val="Collegamentoipertestuale"/>
            <w:rFonts w:cs="Tahoma"/>
          </w:rPr>
          <w:t>9.2.3 Conti correnti e depositi di risparmio</w:t>
        </w:r>
        <w:r w:rsidR="00E22CE6" w:rsidRPr="00E22CE6">
          <w:rPr>
            <w:webHidden/>
          </w:rPr>
          <w:tab/>
        </w:r>
        <w:r w:rsidR="00E22CE6" w:rsidRPr="00E22CE6">
          <w:rPr>
            <w:webHidden/>
          </w:rPr>
          <w:fldChar w:fldCharType="begin"/>
        </w:r>
        <w:r w:rsidR="00E22CE6" w:rsidRPr="00E22CE6">
          <w:rPr>
            <w:webHidden/>
          </w:rPr>
          <w:instrText xml:space="preserve"> PAGEREF _Toc161933235 \h </w:instrText>
        </w:r>
        <w:r w:rsidR="00E22CE6" w:rsidRPr="00E22CE6">
          <w:rPr>
            <w:webHidden/>
          </w:rPr>
        </w:r>
        <w:r w:rsidR="00E22CE6" w:rsidRPr="00E22CE6">
          <w:rPr>
            <w:webHidden/>
          </w:rPr>
          <w:fldChar w:fldCharType="separate"/>
        </w:r>
        <w:r w:rsidR="00E873AF">
          <w:rPr>
            <w:webHidden/>
          </w:rPr>
          <w:t>79</w:t>
        </w:r>
        <w:r w:rsidR="00E22CE6" w:rsidRPr="00E22CE6">
          <w:rPr>
            <w:webHidden/>
          </w:rPr>
          <w:fldChar w:fldCharType="end"/>
        </w:r>
      </w:hyperlink>
    </w:p>
    <w:p w14:paraId="4AFCC0A2" w14:textId="07710AD1" w:rsidR="00E22CE6" w:rsidRPr="00E22CE6" w:rsidRDefault="00000000" w:rsidP="00E22CE6">
      <w:pPr>
        <w:pStyle w:val="Sommario3"/>
        <w:spacing w:before="60" w:after="60" w:line="326" w:lineRule="auto"/>
        <w:rPr>
          <w:rFonts w:eastAsiaTheme="minorEastAsia"/>
          <w:i w:val="0"/>
          <w:kern w:val="2"/>
          <w14:ligatures w14:val="standardContextual"/>
        </w:rPr>
      </w:pPr>
      <w:hyperlink w:anchor="_Toc161933236" w:history="1">
        <w:r w:rsidR="00E22CE6" w:rsidRPr="00E22CE6">
          <w:rPr>
            <w:rStyle w:val="Collegamentoipertestuale"/>
            <w:rFonts w:cs="Tahoma"/>
          </w:rPr>
          <w:t>9.2.4 Credito di imposta</w:t>
        </w:r>
        <w:r w:rsidR="00E22CE6" w:rsidRPr="00E22CE6">
          <w:rPr>
            <w:webHidden/>
          </w:rPr>
          <w:tab/>
        </w:r>
        <w:r w:rsidR="00E22CE6" w:rsidRPr="00E22CE6">
          <w:rPr>
            <w:webHidden/>
          </w:rPr>
          <w:fldChar w:fldCharType="begin"/>
        </w:r>
        <w:r w:rsidR="00E22CE6" w:rsidRPr="00E22CE6">
          <w:rPr>
            <w:webHidden/>
          </w:rPr>
          <w:instrText xml:space="preserve"> PAGEREF _Toc161933236 \h </w:instrText>
        </w:r>
        <w:r w:rsidR="00E22CE6" w:rsidRPr="00E22CE6">
          <w:rPr>
            <w:webHidden/>
          </w:rPr>
        </w:r>
        <w:r w:rsidR="00E22CE6" w:rsidRPr="00E22CE6">
          <w:rPr>
            <w:webHidden/>
          </w:rPr>
          <w:fldChar w:fldCharType="separate"/>
        </w:r>
        <w:r w:rsidR="00E873AF">
          <w:rPr>
            <w:webHidden/>
          </w:rPr>
          <w:t>80</w:t>
        </w:r>
        <w:r w:rsidR="00E22CE6" w:rsidRPr="00E22CE6">
          <w:rPr>
            <w:webHidden/>
          </w:rPr>
          <w:fldChar w:fldCharType="end"/>
        </w:r>
      </w:hyperlink>
    </w:p>
    <w:p w14:paraId="5D76E868" w14:textId="4528EA05" w:rsidR="00E22CE6" w:rsidRPr="00E22CE6" w:rsidRDefault="00000000" w:rsidP="00E22CE6">
      <w:pPr>
        <w:pStyle w:val="Sommario3"/>
        <w:spacing w:before="60" w:after="60" w:line="326" w:lineRule="auto"/>
        <w:rPr>
          <w:rFonts w:eastAsiaTheme="minorEastAsia"/>
          <w:i w:val="0"/>
          <w:kern w:val="2"/>
          <w14:ligatures w14:val="standardContextual"/>
        </w:rPr>
      </w:pPr>
      <w:hyperlink w:anchor="_Toc161933237" w:history="1">
        <w:r w:rsidR="00E22CE6" w:rsidRPr="00E22CE6">
          <w:rPr>
            <w:rStyle w:val="Collegamentoipertestuale"/>
            <w:rFonts w:cs="Tahoma"/>
          </w:rPr>
          <w:t>9.2.5 Versamento, liquidazione, accertamento e riscossione</w:t>
        </w:r>
        <w:r w:rsidR="00E22CE6" w:rsidRPr="00E22CE6">
          <w:rPr>
            <w:webHidden/>
          </w:rPr>
          <w:tab/>
        </w:r>
        <w:r w:rsidR="00E22CE6" w:rsidRPr="00E22CE6">
          <w:rPr>
            <w:webHidden/>
          </w:rPr>
          <w:fldChar w:fldCharType="begin"/>
        </w:r>
        <w:r w:rsidR="00E22CE6" w:rsidRPr="00E22CE6">
          <w:rPr>
            <w:webHidden/>
          </w:rPr>
          <w:instrText xml:space="preserve"> PAGEREF _Toc161933237 \h </w:instrText>
        </w:r>
        <w:r w:rsidR="00E22CE6" w:rsidRPr="00E22CE6">
          <w:rPr>
            <w:webHidden/>
          </w:rPr>
        </w:r>
        <w:r w:rsidR="00E22CE6" w:rsidRPr="00E22CE6">
          <w:rPr>
            <w:webHidden/>
          </w:rPr>
          <w:fldChar w:fldCharType="separate"/>
        </w:r>
        <w:r w:rsidR="00E873AF">
          <w:rPr>
            <w:webHidden/>
          </w:rPr>
          <w:t>80</w:t>
        </w:r>
        <w:r w:rsidR="00E22CE6" w:rsidRPr="00E22CE6">
          <w:rPr>
            <w:webHidden/>
          </w:rPr>
          <w:fldChar w:fldCharType="end"/>
        </w:r>
      </w:hyperlink>
    </w:p>
    <w:p w14:paraId="35BECAA7" w14:textId="0D3AFBDC" w:rsidR="00E22CE6" w:rsidRPr="00E22CE6" w:rsidRDefault="00000000" w:rsidP="00E22CE6">
      <w:pPr>
        <w:pStyle w:val="Sommario3"/>
        <w:spacing w:before="60" w:after="60" w:line="326" w:lineRule="auto"/>
        <w:rPr>
          <w:rFonts w:eastAsiaTheme="minorEastAsia"/>
          <w:i w:val="0"/>
          <w:kern w:val="2"/>
          <w14:ligatures w14:val="standardContextual"/>
        </w:rPr>
      </w:pPr>
      <w:hyperlink w:anchor="_Toc161933238" w:history="1">
        <w:r w:rsidR="00E22CE6" w:rsidRPr="00E22CE6">
          <w:rPr>
            <w:rStyle w:val="Collegamentoipertestuale"/>
            <w:rFonts w:cs="Tahoma"/>
          </w:rPr>
          <w:t>9.2.6 Aliquota dello 0,4% sui prodotti finanziari in Stati black list</w:t>
        </w:r>
        <w:r w:rsidR="00E22CE6" w:rsidRPr="00E22CE6">
          <w:rPr>
            <w:webHidden/>
          </w:rPr>
          <w:tab/>
        </w:r>
        <w:r w:rsidR="00E22CE6" w:rsidRPr="00E22CE6">
          <w:rPr>
            <w:webHidden/>
          </w:rPr>
          <w:fldChar w:fldCharType="begin"/>
        </w:r>
        <w:r w:rsidR="00E22CE6" w:rsidRPr="00E22CE6">
          <w:rPr>
            <w:webHidden/>
          </w:rPr>
          <w:instrText xml:space="preserve"> PAGEREF _Toc161933238 \h </w:instrText>
        </w:r>
        <w:r w:rsidR="00E22CE6" w:rsidRPr="00E22CE6">
          <w:rPr>
            <w:webHidden/>
          </w:rPr>
        </w:r>
        <w:r w:rsidR="00E22CE6" w:rsidRPr="00E22CE6">
          <w:rPr>
            <w:webHidden/>
          </w:rPr>
          <w:fldChar w:fldCharType="separate"/>
        </w:r>
        <w:r w:rsidR="00E873AF">
          <w:rPr>
            <w:webHidden/>
          </w:rPr>
          <w:t>80</w:t>
        </w:r>
        <w:r w:rsidR="00E22CE6" w:rsidRPr="00E22CE6">
          <w:rPr>
            <w:webHidden/>
          </w:rPr>
          <w:fldChar w:fldCharType="end"/>
        </w:r>
      </w:hyperlink>
    </w:p>
    <w:p w14:paraId="73713F95" w14:textId="76A4C1DC" w:rsidR="00E22CE6" w:rsidRPr="00E22CE6" w:rsidRDefault="00000000" w:rsidP="00E22CE6">
      <w:pPr>
        <w:pStyle w:val="Sommario3"/>
        <w:spacing w:before="60" w:after="60" w:line="326" w:lineRule="auto"/>
        <w:rPr>
          <w:rFonts w:eastAsiaTheme="minorEastAsia"/>
          <w:i w:val="0"/>
          <w:kern w:val="2"/>
          <w14:ligatures w14:val="standardContextual"/>
        </w:rPr>
      </w:pPr>
      <w:hyperlink w:anchor="_Toc161933239" w:history="1">
        <w:r w:rsidR="00E22CE6" w:rsidRPr="00E22CE6">
          <w:rPr>
            <w:rStyle w:val="Collegamentoipertestuale"/>
            <w:rFonts w:cs="Tahoma"/>
          </w:rPr>
          <w:t>9.2.7 Imposta sul valore delle cripto-attività</w:t>
        </w:r>
        <w:r w:rsidR="00E22CE6" w:rsidRPr="00E22CE6">
          <w:rPr>
            <w:webHidden/>
          </w:rPr>
          <w:tab/>
        </w:r>
        <w:r w:rsidR="00E22CE6" w:rsidRPr="00E22CE6">
          <w:rPr>
            <w:webHidden/>
          </w:rPr>
          <w:fldChar w:fldCharType="begin"/>
        </w:r>
        <w:r w:rsidR="00E22CE6" w:rsidRPr="00E22CE6">
          <w:rPr>
            <w:webHidden/>
          </w:rPr>
          <w:instrText xml:space="preserve"> PAGEREF _Toc161933239 \h </w:instrText>
        </w:r>
        <w:r w:rsidR="00E22CE6" w:rsidRPr="00E22CE6">
          <w:rPr>
            <w:webHidden/>
          </w:rPr>
        </w:r>
        <w:r w:rsidR="00E22CE6" w:rsidRPr="00E22CE6">
          <w:rPr>
            <w:webHidden/>
          </w:rPr>
          <w:fldChar w:fldCharType="separate"/>
        </w:r>
        <w:r w:rsidR="00E873AF">
          <w:rPr>
            <w:webHidden/>
          </w:rPr>
          <w:t>80</w:t>
        </w:r>
        <w:r w:rsidR="00E22CE6" w:rsidRPr="00E22CE6">
          <w:rPr>
            <w:webHidden/>
          </w:rPr>
          <w:fldChar w:fldCharType="end"/>
        </w:r>
      </w:hyperlink>
    </w:p>
    <w:p w14:paraId="5AA12BF1" w14:textId="163980B4" w:rsidR="00E22CE6" w:rsidRPr="00E22CE6" w:rsidRDefault="00000000" w:rsidP="00E22CE6">
      <w:pPr>
        <w:pStyle w:val="Sommario3"/>
        <w:spacing w:before="60" w:after="60" w:line="326" w:lineRule="auto"/>
        <w:rPr>
          <w:rFonts w:eastAsiaTheme="minorEastAsia"/>
          <w:i w:val="0"/>
          <w:kern w:val="2"/>
          <w14:ligatures w14:val="standardContextual"/>
        </w:rPr>
      </w:pPr>
      <w:hyperlink w:anchor="_Toc161933240" w:history="1">
        <w:r w:rsidR="00E22CE6" w:rsidRPr="00E22CE6">
          <w:rPr>
            <w:rStyle w:val="Collegamentoipertestuale"/>
            <w:rFonts w:cs="Tahoma"/>
          </w:rPr>
          <w:t>9.2.8 Esempi di calcolo IVAFE</w:t>
        </w:r>
        <w:r w:rsidR="00E22CE6" w:rsidRPr="00E22CE6">
          <w:rPr>
            <w:webHidden/>
          </w:rPr>
          <w:tab/>
        </w:r>
        <w:r w:rsidR="00E22CE6" w:rsidRPr="00E22CE6">
          <w:rPr>
            <w:webHidden/>
          </w:rPr>
          <w:fldChar w:fldCharType="begin"/>
        </w:r>
        <w:r w:rsidR="00E22CE6" w:rsidRPr="00E22CE6">
          <w:rPr>
            <w:webHidden/>
          </w:rPr>
          <w:instrText xml:space="preserve"> PAGEREF _Toc161933240 \h </w:instrText>
        </w:r>
        <w:r w:rsidR="00E22CE6" w:rsidRPr="00E22CE6">
          <w:rPr>
            <w:webHidden/>
          </w:rPr>
        </w:r>
        <w:r w:rsidR="00E22CE6" w:rsidRPr="00E22CE6">
          <w:rPr>
            <w:webHidden/>
          </w:rPr>
          <w:fldChar w:fldCharType="separate"/>
        </w:r>
        <w:r w:rsidR="00E873AF">
          <w:rPr>
            <w:webHidden/>
          </w:rPr>
          <w:t>81</w:t>
        </w:r>
        <w:r w:rsidR="00E22CE6" w:rsidRPr="00E22CE6">
          <w:rPr>
            <w:webHidden/>
          </w:rPr>
          <w:fldChar w:fldCharType="end"/>
        </w:r>
      </w:hyperlink>
    </w:p>
    <w:p w14:paraId="741F9D48" w14:textId="435D6B77" w:rsidR="00E22CE6" w:rsidRPr="00E22CE6" w:rsidRDefault="00000000" w:rsidP="00E22CE6">
      <w:pPr>
        <w:pStyle w:val="Sommario1"/>
        <w:rPr>
          <w:rFonts w:eastAsiaTheme="minorEastAsia"/>
          <w:b w:val="0"/>
          <w:kern w:val="2"/>
          <w14:ligatures w14:val="standardContextual"/>
        </w:rPr>
      </w:pPr>
      <w:hyperlink w:anchor="_Toc161933241" w:history="1">
        <w:r w:rsidR="00E22CE6" w:rsidRPr="00E22CE6">
          <w:rPr>
            <w:rStyle w:val="Collegamentoipertestuale"/>
            <w:rFonts w:cs="Tahoma"/>
          </w:rPr>
          <w:t>Riferimenti normativi</w:t>
        </w:r>
        <w:r w:rsidR="00E22CE6" w:rsidRPr="00E22CE6">
          <w:rPr>
            <w:webHidden/>
          </w:rPr>
          <w:tab/>
        </w:r>
        <w:r w:rsidR="00E22CE6" w:rsidRPr="00E22CE6">
          <w:rPr>
            <w:webHidden/>
          </w:rPr>
          <w:fldChar w:fldCharType="begin"/>
        </w:r>
        <w:r w:rsidR="00E22CE6" w:rsidRPr="00E22CE6">
          <w:rPr>
            <w:webHidden/>
          </w:rPr>
          <w:instrText xml:space="preserve"> PAGEREF _Toc161933241 \h </w:instrText>
        </w:r>
        <w:r w:rsidR="00E22CE6" w:rsidRPr="00E22CE6">
          <w:rPr>
            <w:webHidden/>
          </w:rPr>
        </w:r>
        <w:r w:rsidR="00E22CE6" w:rsidRPr="00E22CE6">
          <w:rPr>
            <w:webHidden/>
          </w:rPr>
          <w:fldChar w:fldCharType="separate"/>
        </w:r>
        <w:r w:rsidR="00E873AF">
          <w:rPr>
            <w:webHidden/>
          </w:rPr>
          <w:t>82</w:t>
        </w:r>
        <w:r w:rsidR="00E22CE6" w:rsidRPr="00E22CE6">
          <w:rPr>
            <w:webHidden/>
          </w:rPr>
          <w:fldChar w:fldCharType="end"/>
        </w:r>
      </w:hyperlink>
    </w:p>
    <w:p w14:paraId="7BE1C019" w14:textId="363926AF" w:rsidR="00E22CE6" w:rsidRPr="00E22CE6" w:rsidRDefault="00000000" w:rsidP="00E22CE6">
      <w:pPr>
        <w:pStyle w:val="Sommario2"/>
        <w:tabs>
          <w:tab w:val="right" w:leader="dot" w:pos="9202"/>
        </w:tabs>
        <w:spacing w:before="60" w:after="60" w:line="326" w:lineRule="auto"/>
        <w:rPr>
          <w:rFonts w:eastAsiaTheme="minorEastAsia" w:cs="Tahoma"/>
          <w:noProof/>
          <w:kern w:val="2"/>
          <w:szCs w:val="20"/>
          <w14:ligatures w14:val="standardContextual"/>
        </w:rPr>
      </w:pPr>
      <w:hyperlink w:anchor="_Toc161933242" w:history="1">
        <w:r w:rsidR="00E22CE6" w:rsidRPr="00E22CE6">
          <w:rPr>
            <w:rStyle w:val="Collegamentoipertestuale"/>
            <w:rFonts w:cs="Tahoma"/>
            <w:noProof/>
            <w:szCs w:val="20"/>
          </w:rPr>
          <w:t>Legislazione</w:t>
        </w:r>
        <w:r w:rsidR="00E22CE6" w:rsidRPr="00E22CE6">
          <w:rPr>
            <w:rFonts w:cs="Tahoma"/>
            <w:noProof/>
            <w:webHidden/>
            <w:szCs w:val="20"/>
          </w:rPr>
          <w:tab/>
        </w:r>
        <w:r w:rsidR="00E22CE6" w:rsidRPr="00E22CE6">
          <w:rPr>
            <w:rFonts w:cs="Tahoma"/>
            <w:noProof/>
            <w:webHidden/>
            <w:szCs w:val="20"/>
          </w:rPr>
          <w:fldChar w:fldCharType="begin"/>
        </w:r>
        <w:r w:rsidR="00E22CE6" w:rsidRPr="00E22CE6">
          <w:rPr>
            <w:rFonts w:cs="Tahoma"/>
            <w:noProof/>
            <w:webHidden/>
            <w:szCs w:val="20"/>
          </w:rPr>
          <w:instrText xml:space="preserve"> PAGEREF _Toc161933242 \h </w:instrText>
        </w:r>
        <w:r w:rsidR="00E22CE6" w:rsidRPr="00E22CE6">
          <w:rPr>
            <w:rFonts w:cs="Tahoma"/>
            <w:noProof/>
            <w:webHidden/>
            <w:szCs w:val="20"/>
          </w:rPr>
        </w:r>
        <w:r w:rsidR="00E22CE6" w:rsidRPr="00E22CE6">
          <w:rPr>
            <w:rFonts w:cs="Tahoma"/>
            <w:noProof/>
            <w:webHidden/>
            <w:szCs w:val="20"/>
          </w:rPr>
          <w:fldChar w:fldCharType="separate"/>
        </w:r>
        <w:r w:rsidR="00E873AF">
          <w:rPr>
            <w:rFonts w:cs="Tahoma"/>
            <w:noProof/>
            <w:webHidden/>
            <w:szCs w:val="20"/>
          </w:rPr>
          <w:t>82</w:t>
        </w:r>
        <w:r w:rsidR="00E22CE6" w:rsidRPr="00E22CE6">
          <w:rPr>
            <w:rFonts w:cs="Tahoma"/>
            <w:noProof/>
            <w:webHidden/>
            <w:szCs w:val="20"/>
          </w:rPr>
          <w:fldChar w:fldCharType="end"/>
        </w:r>
      </w:hyperlink>
    </w:p>
    <w:p w14:paraId="1E93837C" w14:textId="61BA4070" w:rsidR="00E22CE6" w:rsidRPr="00E22CE6" w:rsidRDefault="00000000" w:rsidP="00E22CE6">
      <w:pPr>
        <w:pStyle w:val="Sommario2"/>
        <w:tabs>
          <w:tab w:val="right" w:leader="dot" w:pos="9202"/>
        </w:tabs>
        <w:spacing w:before="60" w:after="60" w:line="326" w:lineRule="auto"/>
        <w:rPr>
          <w:rFonts w:eastAsiaTheme="minorEastAsia" w:cs="Tahoma"/>
          <w:noProof/>
          <w:kern w:val="2"/>
          <w:szCs w:val="20"/>
          <w14:ligatures w14:val="standardContextual"/>
        </w:rPr>
      </w:pPr>
      <w:hyperlink w:anchor="_Toc161933243" w:history="1">
        <w:r w:rsidR="00E22CE6" w:rsidRPr="00E22CE6">
          <w:rPr>
            <w:rStyle w:val="Collegamentoipertestuale"/>
            <w:rFonts w:cs="Tahoma"/>
            <w:noProof/>
            <w:szCs w:val="20"/>
          </w:rPr>
          <w:t>Prassi</w:t>
        </w:r>
        <w:r w:rsidR="00E22CE6" w:rsidRPr="00E22CE6">
          <w:rPr>
            <w:rFonts w:cs="Tahoma"/>
            <w:noProof/>
            <w:webHidden/>
            <w:szCs w:val="20"/>
          </w:rPr>
          <w:tab/>
        </w:r>
        <w:r w:rsidR="00E22CE6" w:rsidRPr="00E22CE6">
          <w:rPr>
            <w:rFonts w:cs="Tahoma"/>
            <w:noProof/>
            <w:webHidden/>
            <w:szCs w:val="20"/>
          </w:rPr>
          <w:fldChar w:fldCharType="begin"/>
        </w:r>
        <w:r w:rsidR="00E22CE6" w:rsidRPr="00E22CE6">
          <w:rPr>
            <w:rFonts w:cs="Tahoma"/>
            <w:noProof/>
            <w:webHidden/>
            <w:szCs w:val="20"/>
          </w:rPr>
          <w:instrText xml:space="preserve"> PAGEREF _Toc161933243 \h </w:instrText>
        </w:r>
        <w:r w:rsidR="00E22CE6" w:rsidRPr="00E22CE6">
          <w:rPr>
            <w:rFonts w:cs="Tahoma"/>
            <w:noProof/>
            <w:webHidden/>
            <w:szCs w:val="20"/>
          </w:rPr>
        </w:r>
        <w:r w:rsidR="00E22CE6" w:rsidRPr="00E22CE6">
          <w:rPr>
            <w:rFonts w:cs="Tahoma"/>
            <w:noProof/>
            <w:webHidden/>
            <w:szCs w:val="20"/>
          </w:rPr>
          <w:fldChar w:fldCharType="separate"/>
        </w:r>
        <w:r w:rsidR="00E873AF">
          <w:rPr>
            <w:rFonts w:cs="Tahoma"/>
            <w:noProof/>
            <w:webHidden/>
            <w:szCs w:val="20"/>
          </w:rPr>
          <w:t>83</w:t>
        </w:r>
        <w:r w:rsidR="00E22CE6" w:rsidRPr="00E22CE6">
          <w:rPr>
            <w:rFonts w:cs="Tahoma"/>
            <w:noProof/>
            <w:webHidden/>
            <w:szCs w:val="20"/>
          </w:rPr>
          <w:fldChar w:fldCharType="end"/>
        </w:r>
      </w:hyperlink>
    </w:p>
    <w:p w14:paraId="0690613A" w14:textId="1C27DE07" w:rsidR="008D15F0" w:rsidRPr="009334AB" w:rsidRDefault="008D15F0" w:rsidP="00E22CE6">
      <w:pPr>
        <w:pStyle w:val="Titolo1"/>
        <w:spacing w:before="60" w:after="60" w:line="326" w:lineRule="auto"/>
        <w:rPr>
          <w:rFonts w:cs="Tahoma"/>
          <w:sz w:val="20"/>
          <w:szCs w:val="20"/>
          <w:lang w:val="en-US"/>
        </w:rPr>
      </w:pPr>
      <w:r w:rsidRPr="00E22CE6">
        <w:rPr>
          <w:rFonts w:cs="Tahoma"/>
          <w:color w:val="auto"/>
          <w:sz w:val="20"/>
          <w:szCs w:val="20"/>
          <w:lang w:val="en-US"/>
        </w:rPr>
        <w:fldChar w:fldCharType="end"/>
      </w:r>
      <w:bookmarkStart w:id="5" w:name="_Toc441599340"/>
    </w:p>
    <w:p w14:paraId="0514E9C0" w14:textId="77777777" w:rsidR="007630E9" w:rsidRPr="00305AEB" w:rsidRDefault="007630E9" w:rsidP="00186726">
      <w:pPr>
        <w:rPr>
          <w:rFonts w:cs="Tahoma"/>
          <w:szCs w:val="20"/>
          <w:lang w:val="en-US"/>
        </w:rPr>
        <w:sectPr w:rsidR="007630E9" w:rsidRPr="00305AEB" w:rsidSect="00471E5B">
          <w:pgSz w:w="11906" w:h="16838" w:code="9"/>
          <w:pgMar w:top="1418" w:right="1418" w:bottom="510" w:left="1276" w:header="709" w:footer="567" w:gutter="0"/>
          <w:pgNumType w:chapStyle="1"/>
          <w:cols w:space="708"/>
          <w:titlePg/>
          <w:docGrid w:linePitch="360"/>
        </w:sectPr>
      </w:pPr>
    </w:p>
    <w:p w14:paraId="3C620D69" w14:textId="77777777" w:rsidR="008D15F0" w:rsidRPr="00305AEB" w:rsidRDefault="008D15F0" w:rsidP="00186726">
      <w:pPr>
        <w:pStyle w:val="Titolo1"/>
        <w:spacing w:line="360" w:lineRule="auto"/>
        <w:rPr>
          <w:rFonts w:cs="Tahoma"/>
          <w:sz w:val="48"/>
          <w:szCs w:val="48"/>
        </w:rPr>
      </w:pPr>
      <w:bookmarkStart w:id="6" w:name="_Toc161933115"/>
      <w:r w:rsidRPr="00305AEB">
        <w:rPr>
          <w:rFonts w:cs="Tahoma"/>
        </w:rPr>
        <w:lastRenderedPageBreak/>
        <w:t>Premessa</w:t>
      </w:r>
      <w:bookmarkEnd w:id="0"/>
      <w:bookmarkEnd w:id="1"/>
      <w:bookmarkEnd w:id="2"/>
      <w:bookmarkEnd w:id="3"/>
      <w:bookmarkEnd w:id="4"/>
      <w:bookmarkEnd w:id="5"/>
      <w:bookmarkEnd w:id="6"/>
    </w:p>
    <w:p w14:paraId="18A95714" w14:textId="77777777" w:rsidR="008D15F0" w:rsidRPr="00305AEB" w:rsidRDefault="008D15F0" w:rsidP="00186726">
      <w:pPr>
        <w:tabs>
          <w:tab w:val="left" w:pos="7371"/>
          <w:tab w:val="right" w:pos="8080"/>
        </w:tabs>
        <w:rPr>
          <w:rFonts w:cs="Tahoma"/>
          <w:b/>
        </w:rPr>
      </w:pPr>
    </w:p>
    <w:p w14:paraId="11CC48EE" w14:textId="12237439" w:rsidR="00E0466A" w:rsidRPr="00305AEB" w:rsidRDefault="00E0466A" w:rsidP="00186726">
      <w:pPr>
        <w:tabs>
          <w:tab w:val="left" w:pos="7371"/>
          <w:tab w:val="right" w:pos="8080"/>
        </w:tabs>
        <w:rPr>
          <w:rFonts w:cs="Tahoma"/>
          <w:b/>
          <w:szCs w:val="20"/>
        </w:rPr>
      </w:pPr>
    </w:p>
    <w:p w14:paraId="752E6A0D" w14:textId="10A7602C" w:rsidR="007630E9" w:rsidRPr="00305AEB" w:rsidRDefault="007630E9" w:rsidP="00186726">
      <w:pPr>
        <w:tabs>
          <w:tab w:val="left" w:pos="7371"/>
          <w:tab w:val="right" w:pos="8080"/>
        </w:tabs>
        <w:rPr>
          <w:rFonts w:cs="Tahoma"/>
          <w:b/>
          <w:szCs w:val="20"/>
        </w:rPr>
      </w:pPr>
    </w:p>
    <w:p w14:paraId="00213DBF" w14:textId="164A7FFD" w:rsidR="007630E9" w:rsidRPr="00305AEB" w:rsidRDefault="007630E9" w:rsidP="00186726">
      <w:pPr>
        <w:tabs>
          <w:tab w:val="left" w:pos="7371"/>
          <w:tab w:val="right" w:pos="8080"/>
        </w:tabs>
        <w:rPr>
          <w:rFonts w:cs="Tahoma"/>
          <w:b/>
          <w:szCs w:val="20"/>
        </w:rPr>
      </w:pPr>
    </w:p>
    <w:p w14:paraId="431CB7D8" w14:textId="3FC5C4BF" w:rsidR="007630E9" w:rsidRPr="00305AEB" w:rsidRDefault="007630E9" w:rsidP="00186726">
      <w:pPr>
        <w:tabs>
          <w:tab w:val="left" w:pos="7371"/>
          <w:tab w:val="right" w:pos="8080"/>
        </w:tabs>
        <w:rPr>
          <w:rFonts w:cs="Tahoma"/>
          <w:b/>
          <w:szCs w:val="20"/>
        </w:rPr>
      </w:pPr>
    </w:p>
    <w:p w14:paraId="5A6A4333" w14:textId="77777777" w:rsidR="007630E9" w:rsidRPr="00305AEB" w:rsidRDefault="007630E9" w:rsidP="00186726">
      <w:pPr>
        <w:tabs>
          <w:tab w:val="left" w:pos="7371"/>
          <w:tab w:val="right" w:pos="8080"/>
        </w:tabs>
        <w:rPr>
          <w:rFonts w:cs="Tahoma"/>
          <w:b/>
          <w:szCs w:val="20"/>
        </w:rPr>
      </w:pPr>
    </w:p>
    <w:p w14:paraId="65167C6B" w14:textId="77777777" w:rsidR="008D15F0" w:rsidRPr="00087C4D" w:rsidRDefault="008D15F0" w:rsidP="00186726">
      <w:pPr>
        <w:tabs>
          <w:tab w:val="left" w:pos="7371"/>
          <w:tab w:val="right" w:pos="8080"/>
        </w:tabs>
        <w:rPr>
          <w:rFonts w:cs="Tahoma"/>
          <w:szCs w:val="20"/>
        </w:rPr>
      </w:pPr>
      <w:r w:rsidRPr="00087C4D">
        <w:rPr>
          <w:rFonts w:cs="Tahoma"/>
          <w:szCs w:val="20"/>
        </w:rPr>
        <w:t>La presente Guida esamina, adottando come filo conduttore l’operatività, le modalità di indicazione nella dichiarazione dei redditi delle persone fisiche delle principali categorie reddituali ottenute all’estero da tali persone.</w:t>
      </w:r>
    </w:p>
    <w:p w14:paraId="2AB00A49" w14:textId="3D3EE9FE" w:rsidR="008D15F0" w:rsidRPr="00087C4D" w:rsidRDefault="008D15F0" w:rsidP="00186726">
      <w:pPr>
        <w:tabs>
          <w:tab w:val="left" w:pos="7371"/>
          <w:tab w:val="right" w:pos="8080"/>
        </w:tabs>
        <w:rPr>
          <w:rFonts w:cs="Tahoma"/>
          <w:szCs w:val="20"/>
        </w:rPr>
      </w:pPr>
      <w:r w:rsidRPr="00087C4D">
        <w:rPr>
          <w:rFonts w:cs="Tahoma"/>
          <w:szCs w:val="20"/>
        </w:rPr>
        <w:t>In primis si analizzerà da un punto di vista teorico pratico la modalità di valutazione che devono tenere gli operatori nell’esame delle tematiche relative a redditi esteri ottenuti da persone fisiche. Quindi, si procederà ad un</w:t>
      </w:r>
      <w:r w:rsidR="000A6481" w:rsidRPr="00087C4D">
        <w:rPr>
          <w:rFonts w:cs="Tahoma"/>
          <w:szCs w:val="20"/>
        </w:rPr>
        <w:t>’</w:t>
      </w:r>
      <w:r w:rsidRPr="00087C4D">
        <w:rPr>
          <w:rFonts w:cs="Tahoma"/>
          <w:szCs w:val="20"/>
        </w:rPr>
        <w:t>analisi della disciplina della residenza delle persone fisiche, le convenzioni contro le doppie imposizioni e le modalità di tassazione dei soggetti residenti.</w:t>
      </w:r>
    </w:p>
    <w:p w14:paraId="3E875E33" w14:textId="77777777" w:rsidR="008D15F0" w:rsidRPr="00087C4D" w:rsidRDefault="008D15F0" w:rsidP="00186726">
      <w:pPr>
        <w:tabs>
          <w:tab w:val="left" w:pos="7371"/>
          <w:tab w:val="right" w:pos="8080"/>
        </w:tabs>
        <w:rPr>
          <w:rFonts w:cs="Tahoma"/>
          <w:szCs w:val="20"/>
        </w:rPr>
      </w:pPr>
      <w:r w:rsidRPr="00087C4D">
        <w:rPr>
          <w:rFonts w:cs="Tahoma"/>
          <w:szCs w:val="20"/>
        </w:rPr>
        <w:t>Successivamente, si analizzeranno le modalità di indicazione delle principali categorie di reddito percepiti dalle persone fisiche e la modalità di eliminazione della doppia imposizione.</w:t>
      </w:r>
    </w:p>
    <w:p w14:paraId="6A358F89" w14:textId="77777777" w:rsidR="008D15F0" w:rsidRPr="00305AEB" w:rsidRDefault="008D15F0" w:rsidP="00186726">
      <w:pPr>
        <w:tabs>
          <w:tab w:val="left" w:pos="7371"/>
          <w:tab w:val="right" w:pos="8080"/>
        </w:tabs>
        <w:rPr>
          <w:rFonts w:cs="Tahoma"/>
          <w:szCs w:val="20"/>
        </w:rPr>
      </w:pPr>
      <w:r w:rsidRPr="00087C4D">
        <w:rPr>
          <w:rFonts w:cs="Tahoma"/>
          <w:szCs w:val="20"/>
        </w:rPr>
        <w:t>Infine, si daranno i cenni sulla normativa del monitoraggio fiscale, disciplina solitamente molto legata al possesso di redditi esteri.</w:t>
      </w:r>
    </w:p>
    <w:p w14:paraId="5809E27E" w14:textId="77777777" w:rsidR="008D15F0" w:rsidRPr="00305AEB" w:rsidRDefault="008D15F0" w:rsidP="00186726">
      <w:pPr>
        <w:rPr>
          <w:rFonts w:cs="Tahoma"/>
        </w:rPr>
      </w:pPr>
    </w:p>
    <w:p w14:paraId="0E42E7C0" w14:textId="77777777" w:rsidR="008D15F0" w:rsidRPr="00305AEB" w:rsidRDefault="008D15F0" w:rsidP="00186726">
      <w:pPr>
        <w:rPr>
          <w:rFonts w:cs="Tahoma"/>
        </w:rPr>
      </w:pPr>
    </w:p>
    <w:p w14:paraId="37C15A69" w14:textId="77777777" w:rsidR="008D15F0" w:rsidRPr="00305AEB" w:rsidRDefault="008D15F0" w:rsidP="00186726">
      <w:pPr>
        <w:rPr>
          <w:rFonts w:cs="Tahoma"/>
        </w:rPr>
      </w:pPr>
    </w:p>
    <w:p w14:paraId="0FB647B0" w14:textId="77777777" w:rsidR="008D15F0" w:rsidRPr="00305AEB" w:rsidRDefault="008D15F0" w:rsidP="00186726">
      <w:pPr>
        <w:rPr>
          <w:rFonts w:cs="Tahoma"/>
        </w:rPr>
      </w:pPr>
    </w:p>
    <w:p w14:paraId="099C0C69" w14:textId="77777777" w:rsidR="007630E9" w:rsidRPr="00305AEB" w:rsidRDefault="007630E9" w:rsidP="00186726">
      <w:pPr>
        <w:rPr>
          <w:rFonts w:cs="Tahoma"/>
          <w:bCs/>
          <w:color w:val="404040"/>
          <w:sz w:val="44"/>
          <w:szCs w:val="44"/>
        </w:rPr>
        <w:sectPr w:rsidR="007630E9" w:rsidRPr="00305AEB" w:rsidSect="00471E5B">
          <w:pgSz w:w="11906" w:h="16838" w:code="9"/>
          <w:pgMar w:top="1418" w:right="1418" w:bottom="510" w:left="1276" w:header="709" w:footer="227" w:gutter="0"/>
          <w:pgNumType w:chapStyle="1"/>
          <w:cols w:space="708"/>
          <w:titlePg/>
          <w:docGrid w:linePitch="360"/>
        </w:sectPr>
      </w:pPr>
      <w:bookmarkStart w:id="7" w:name="_Toc441597017"/>
      <w:bookmarkStart w:id="8" w:name="_Toc441597291"/>
      <w:bookmarkStart w:id="9" w:name="_Toc441598914"/>
      <w:bookmarkStart w:id="10" w:name="_Toc441599341"/>
      <w:bookmarkStart w:id="11" w:name="_Toc441600312"/>
      <w:bookmarkStart w:id="12" w:name="_Toc515199939"/>
    </w:p>
    <w:bookmarkStart w:id="13" w:name="_Toc441597018"/>
    <w:bookmarkStart w:id="14" w:name="_Toc441598915"/>
    <w:bookmarkStart w:id="15" w:name="_Toc441599342"/>
    <w:bookmarkStart w:id="16" w:name="_Toc526517314"/>
    <w:bookmarkStart w:id="17" w:name="_Toc161933116"/>
    <w:p w14:paraId="247C42B7" w14:textId="578C09A4" w:rsidR="008D15F0" w:rsidRPr="000F7D8F" w:rsidRDefault="00CE4133" w:rsidP="000F7D8F">
      <w:pPr>
        <w:pStyle w:val="Titolo1"/>
      </w:pPr>
      <w:r w:rsidRPr="00186726">
        <w:rPr>
          <w:noProof/>
        </w:rPr>
        <w:lastRenderedPageBreak/>
        <mc:AlternateContent>
          <mc:Choice Requires="wps">
            <w:drawing>
              <wp:anchor distT="0" distB="0" distL="114300" distR="114300" simplePos="0" relativeHeight="251634176" behindDoc="0" locked="0" layoutInCell="1" allowOverlap="1" wp14:anchorId="54DD229E" wp14:editId="76B07B43">
                <wp:simplePos x="0" y="0"/>
                <wp:positionH relativeFrom="margin">
                  <wp:posOffset>1705610</wp:posOffset>
                </wp:positionH>
                <wp:positionV relativeFrom="paragraph">
                  <wp:posOffset>275490</wp:posOffset>
                </wp:positionV>
                <wp:extent cx="2438400" cy="0"/>
                <wp:effectExtent l="0" t="0" r="0" b="0"/>
                <wp:wrapNone/>
                <wp:docPr id="30"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19050">
                          <a:solidFill>
                            <a:srgbClr val="40404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E186285" id="_x0000_t32" coordsize="21600,21600" o:spt="32" o:oned="t" path="m,l21600,21600e" filled="f">
                <v:path arrowok="t" fillok="f" o:connecttype="none"/>
                <o:lock v:ext="edit" shapetype="t"/>
              </v:shapetype>
              <v:shape id="AutoShape 120" o:spid="_x0000_s1026" type="#_x0000_t32" style="position:absolute;margin-left:134.3pt;margin-top:21.7pt;width:192pt;height:0;z-index:25163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" strokecolor="#404040" strokeweight="1.5pt">
                <w10:wrap anchorx="margin"/>
              </v:shape>
            </w:pict>
          </mc:Fallback>
        </mc:AlternateContent>
      </w:r>
      <w:bookmarkEnd w:id="13"/>
      <w:bookmarkEnd w:id="14"/>
      <w:bookmarkEnd w:id="15"/>
      <w:r w:rsidR="008D15F0" w:rsidRPr="000F7D8F">
        <w:t>1.</w:t>
      </w:r>
      <w:bookmarkEnd w:id="7"/>
      <w:bookmarkEnd w:id="8"/>
      <w:bookmarkEnd w:id="9"/>
      <w:bookmarkEnd w:id="10"/>
      <w:bookmarkEnd w:id="11"/>
      <w:bookmarkEnd w:id="12"/>
      <w:bookmarkEnd w:id="16"/>
      <w:r w:rsidRPr="007177D8">
        <w:br/>
      </w:r>
      <w:r w:rsidR="008D15F0" w:rsidRPr="00186726">
        <w:t>Tassazione dei redditi esteri in Italia</w:t>
      </w:r>
      <w:bookmarkEnd w:id="17"/>
    </w:p>
    <w:p w14:paraId="4E1819F5" w14:textId="77777777" w:rsidR="008D15F0" w:rsidRPr="00305AEB" w:rsidRDefault="008D15F0" w:rsidP="00186726">
      <w:pPr>
        <w:rPr>
          <w:rFonts w:cs="Tahoma"/>
        </w:rPr>
      </w:pPr>
    </w:p>
    <w:p w14:paraId="0DA89DAE" w14:textId="77777777" w:rsidR="008D15F0" w:rsidRPr="00305AEB" w:rsidRDefault="008D15F0" w:rsidP="00186726">
      <w:pPr>
        <w:rPr>
          <w:rFonts w:cs="Tahoma"/>
        </w:rPr>
      </w:pPr>
    </w:p>
    <w:p w14:paraId="18B5CF3D" w14:textId="4294E0D3" w:rsidR="008D15F0" w:rsidRPr="00305AEB" w:rsidRDefault="008D15F0" w:rsidP="00186726">
      <w:pPr>
        <w:rPr>
          <w:rFonts w:cs="Tahoma"/>
        </w:rPr>
      </w:pPr>
    </w:p>
    <w:p w14:paraId="6481DFD5" w14:textId="58E999EE" w:rsidR="007630E9" w:rsidRPr="00305AEB" w:rsidRDefault="007630E9" w:rsidP="00186726">
      <w:pPr>
        <w:rPr>
          <w:rFonts w:cs="Tahoma"/>
        </w:rPr>
      </w:pPr>
    </w:p>
    <w:p w14:paraId="14C331BB" w14:textId="53660434" w:rsidR="007630E9" w:rsidRPr="00305AEB" w:rsidRDefault="007630E9" w:rsidP="00186726">
      <w:pPr>
        <w:rPr>
          <w:rFonts w:cs="Tahoma"/>
        </w:rPr>
      </w:pPr>
    </w:p>
    <w:p w14:paraId="4C69F6AE" w14:textId="77777777" w:rsidR="007630E9" w:rsidRPr="00305AEB" w:rsidRDefault="007630E9" w:rsidP="00186726">
      <w:pPr>
        <w:rPr>
          <w:rFonts w:cs="Tahoma"/>
        </w:rPr>
      </w:pPr>
    </w:p>
    <w:p w14:paraId="11DC2563" w14:textId="77777777" w:rsidR="008D15F0" w:rsidRPr="00B204B7" w:rsidRDefault="008D15F0" w:rsidP="00186726">
      <w:pPr>
        <w:pStyle w:val="Sottotitolo"/>
        <w:rPr>
          <w:rFonts w:cs="Tahoma"/>
          <w:color w:val="auto"/>
          <w:spacing w:val="0"/>
        </w:rPr>
      </w:pPr>
      <w:bookmarkStart w:id="18" w:name="_Toc441597019"/>
      <w:bookmarkStart w:id="19" w:name="_Toc441598916"/>
      <w:bookmarkStart w:id="20" w:name="_Toc441599343"/>
      <w:bookmarkStart w:id="21" w:name="_Toc161933117"/>
      <w:r w:rsidRPr="00B204B7">
        <w:rPr>
          <w:rFonts w:cs="Tahoma"/>
          <w:color w:val="auto"/>
          <w:spacing w:val="0"/>
        </w:rPr>
        <w:t xml:space="preserve">1.1 </w:t>
      </w:r>
      <w:bookmarkEnd w:id="18"/>
      <w:bookmarkEnd w:id="19"/>
      <w:bookmarkEnd w:id="20"/>
      <w:r w:rsidRPr="00B204B7">
        <w:rPr>
          <w:rFonts w:cs="Tahoma"/>
          <w:color w:val="auto"/>
          <w:spacing w:val="0"/>
        </w:rPr>
        <w:t>Quadro normativo</w:t>
      </w:r>
      <w:bookmarkEnd w:id="21"/>
      <w:r w:rsidRPr="00B204B7">
        <w:rPr>
          <w:rFonts w:cs="Tahoma"/>
          <w:color w:val="auto"/>
          <w:spacing w:val="0"/>
        </w:rPr>
        <w:t xml:space="preserve"> </w:t>
      </w:r>
    </w:p>
    <w:p w14:paraId="459312B8" w14:textId="59476DFE" w:rsidR="008D15F0" w:rsidRPr="00305AEB" w:rsidRDefault="008D15F0" w:rsidP="00186726">
      <w:pPr>
        <w:tabs>
          <w:tab w:val="left" w:pos="7371"/>
          <w:tab w:val="right" w:pos="8080"/>
        </w:tabs>
        <w:rPr>
          <w:rFonts w:cs="Tahoma"/>
          <w:szCs w:val="20"/>
        </w:rPr>
      </w:pPr>
      <w:r w:rsidRPr="00305AEB">
        <w:rPr>
          <w:rFonts w:cs="Tahoma"/>
          <w:szCs w:val="20"/>
        </w:rPr>
        <w:t>Quando si parla di reddito estero si intende qualsiasi reddito che un contribuente percepisce all’estero. Quindi, se avete un contribuente che vi comunica che durante l’anno è stato via dall’Italia per qualche motivo</w:t>
      </w:r>
      <w:r w:rsidR="00B204B7">
        <w:rPr>
          <w:rFonts w:cs="Tahoma"/>
          <w:szCs w:val="20"/>
        </w:rPr>
        <w:t>,</w:t>
      </w:r>
      <w:r w:rsidRPr="00305AEB">
        <w:rPr>
          <w:rFonts w:cs="Tahoma"/>
          <w:szCs w:val="20"/>
        </w:rPr>
        <w:t xml:space="preserve"> sarà necessario che approfondiate se è andato all’estero per vacanza oppure perché ha lavorato con una borsa di studio, oppure come dipendente, o perché ha un immobile e va a passare le ferie li.</w:t>
      </w:r>
    </w:p>
    <w:p w14:paraId="3641E8D2" w14:textId="77777777" w:rsidR="008D15F0" w:rsidRPr="00305AEB" w:rsidRDefault="008D15F0" w:rsidP="00186726">
      <w:pPr>
        <w:tabs>
          <w:tab w:val="left" w:pos="7371"/>
          <w:tab w:val="right" w:pos="8080"/>
        </w:tabs>
        <w:rPr>
          <w:rFonts w:cs="Tahoma"/>
          <w:szCs w:val="20"/>
        </w:rPr>
      </w:pPr>
      <w:r w:rsidRPr="00305AEB">
        <w:rPr>
          <w:rFonts w:cs="Tahoma"/>
          <w:szCs w:val="20"/>
        </w:rPr>
        <w:t>In tutti i casi in cui i contribuenti hanno fatto qualche tipo di attività all’estero o hanno qualche investimento all’estero è necessario porsi la domanda se quel reddito è tassabile anche in Italia.</w:t>
      </w:r>
    </w:p>
    <w:p w14:paraId="198DA12D" w14:textId="77777777" w:rsidR="008D15F0" w:rsidRPr="00305AEB" w:rsidRDefault="008D15F0" w:rsidP="00186726">
      <w:pPr>
        <w:tabs>
          <w:tab w:val="left" w:pos="7371"/>
          <w:tab w:val="right" w:pos="8080"/>
        </w:tabs>
        <w:rPr>
          <w:rFonts w:cs="Tahoma"/>
          <w:szCs w:val="20"/>
        </w:rPr>
      </w:pPr>
      <w:r w:rsidRPr="00305AEB">
        <w:rPr>
          <w:rFonts w:cs="Tahoma"/>
          <w:szCs w:val="20"/>
        </w:rPr>
        <w:t>Tutti questi casi o circostanze possono creare degli obblighi di compilazione di determinati quadri della dichiarazione e di pagamento di imposte siano esse imposte sui redditi siano esse imposte patrimoniali quali l’IVIE e l’IVAFE.</w:t>
      </w:r>
    </w:p>
    <w:p w14:paraId="696CE980" w14:textId="77777777" w:rsidR="008D15F0" w:rsidRPr="00305AEB" w:rsidRDefault="008D15F0" w:rsidP="00186726">
      <w:pPr>
        <w:tabs>
          <w:tab w:val="left" w:pos="7371"/>
          <w:tab w:val="right" w:pos="8080"/>
        </w:tabs>
        <w:rPr>
          <w:rFonts w:cs="Tahoma"/>
          <w:szCs w:val="20"/>
        </w:rPr>
      </w:pPr>
      <w:r w:rsidRPr="00305AEB">
        <w:rPr>
          <w:rFonts w:cs="Tahoma"/>
          <w:szCs w:val="20"/>
        </w:rPr>
        <w:t xml:space="preserve">Nell’approcciare la complessità riguardante i rapporti che le persone fisiche hanno con l’estero è necessario tenere ben presente alcuni principi di base che aiutano ad orientarsi nell’analisi delle implicazioni fiscali della specifica operazione. </w:t>
      </w:r>
    </w:p>
    <w:p w14:paraId="1246CF82" w14:textId="77777777" w:rsidR="008D15F0" w:rsidRPr="00305AEB" w:rsidRDefault="008D15F0" w:rsidP="00186726">
      <w:pPr>
        <w:tabs>
          <w:tab w:val="left" w:pos="7371"/>
          <w:tab w:val="right" w:pos="8080"/>
        </w:tabs>
        <w:rPr>
          <w:rFonts w:cs="Tahoma"/>
          <w:szCs w:val="20"/>
        </w:rPr>
      </w:pPr>
      <w:r w:rsidRPr="00305AEB">
        <w:rPr>
          <w:rFonts w:cs="Tahoma"/>
          <w:szCs w:val="20"/>
        </w:rPr>
        <w:t>Tali principi sono:</w:t>
      </w:r>
    </w:p>
    <w:p w14:paraId="4193794E" w14:textId="77777777" w:rsidR="0069364A" w:rsidRPr="00305AEB" w:rsidRDefault="008D15F0" w:rsidP="00186726">
      <w:pPr>
        <w:numPr>
          <w:ilvl w:val="0"/>
          <w:numId w:val="3"/>
        </w:numPr>
        <w:tabs>
          <w:tab w:val="left" w:pos="7371"/>
          <w:tab w:val="right" w:pos="8080"/>
        </w:tabs>
        <w:ind w:left="714" w:hanging="357"/>
        <w:contextualSpacing/>
        <w:rPr>
          <w:rFonts w:cs="Tahoma"/>
          <w:szCs w:val="20"/>
        </w:rPr>
      </w:pPr>
      <w:r w:rsidRPr="00305AEB">
        <w:rPr>
          <w:rFonts w:cs="Tahoma"/>
          <w:b/>
          <w:bCs/>
          <w:szCs w:val="20"/>
        </w:rPr>
        <w:t>Il principio della residenza delle persone fisiche</w:t>
      </w:r>
    </w:p>
    <w:p w14:paraId="51A17F53" w14:textId="77777777" w:rsidR="0069364A" w:rsidRPr="00305AEB" w:rsidRDefault="008D15F0" w:rsidP="00186726">
      <w:pPr>
        <w:numPr>
          <w:ilvl w:val="0"/>
          <w:numId w:val="3"/>
        </w:numPr>
        <w:tabs>
          <w:tab w:val="left" w:pos="7371"/>
          <w:tab w:val="right" w:pos="8080"/>
        </w:tabs>
        <w:ind w:left="714" w:hanging="357"/>
        <w:contextualSpacing/>
        <w:rPr>
          <w:rFonts w:cs="Tahoma"/>
          <w:szCs w:val="20"/>
        </w:rPr>
      </w:pPr>
      <w:r w:rsidRPr="00305AEB">
        <w:rPr>
          <w:rFonts w:cs="Tahoma"/>
          <w:b/>
          <w:bCs/>
          <w:szCs w:val="20"/>
        </w:rPr>
        <w:t>La tassazione dei soggetti residenti per i redditi prodotti all’estero</w:t>
      </w:r>
    </w:p>
    <w:p w14:paraId="3B9E72C3" w14:textId="77777777" w:rsidR="008D15F0" w:rsidRPr="00305AEB" w:rsidRDefault="008D15F0" w:rsidP="00186726">
      <w:pPr>
        <w:numPr>
          <w:ilvl w:val="0"/>
          <w:numId w:val="3"/>
        </w:numPr>
        <w:tabs>
          <w:tab w:val="left" w:pos="7371"/>
          <w:tab w:val="right" w:pos="8080"/>
        </w:tabs>
        <w:rPr>
          <w:rFonts w:cs="Tahoma"/>
          <w:szCs w:val="20"/>
        </w:rPr>
      </w:pPr>
      <w:r w:rsidRPr="00305AEB">
        <w:rPr>
          <w:rFonts w:cs="Tahoma"/>
          <w:b/>
          <w:bCs/>
          <w:szCs w:val="20"/>
        </w:rPr>
        <w:t>La doppia imposizione</w:t>
      </w:r>
    </w:p>
    <w:p w14:paraId="42A7EB9F" w14:textId="55036F3B" w:rsidR="000F7D8F" w:rsidRDefault="008D15F0" w:rsidP="002046D9">
      <w:pPr>
        <w:tabs>
          <w:tab w:val="left" w:pos="7371"/>
          <w:tab w:val="right" w:pos="8080"/>
        </w:tabs>
        <w:rPr>
          <w:rFonts w:cs="Tahoma"/>
          <w:szCs w:val="20"/>
        </w:rPr>
      </w:pPr>
      <w:r w:rsidRPr="00487337">
        <w:rPr>
          <w:rFonts w:cs="Tahoma"/>
          <w:szCs w:val="20"/>
        </w:rPr>
        <w:t>Di seguito esamineremo questi principi in modo che nel momento in cui si andranno ad analizzare le casistiche operative gli operatori siano in grado di approcciarsi ai casi pratici con un quadro normativo chiaro.</w:t>
      </w:r>
    </w:p>
    <w:p w14:paraId="00B9EC2E" w14:textId="49A7BA6E" w:rsidR="008D15F0" w:rsidRPr="00305AEB" w:rsidRDefault="008D15F0" w:rsidP="00186726">
      <w:pPr>
        <w:pStyle w:val="Sottotitolo"/>
        <w:rPr>
          <w:rFonts w:cs="Tahoma"/>
          <w:spacing w:val="0"/>
        </w:rPr>
      </w:pPr>
      <w:bookmarkStart w:id="22" w:name="_Toc161933118"/>
      <w:r w:rsidRPr="00305AEB">
        <w:rPr>
          <w:rFonts w:cs="Tahoma"/>
          <w:spacing w:val="0"/>
        </w:rPr>
        <w:lastRenderedPageBreak/>
        <w:t>1.2 La residenza delle persone fisiche</w:t>
      </w:r>
      <w:bookmarkEnd w:id="22"/>
    </w:p>
    <w:p w14:paraId="77A64379" w14:textId="77777777" w:rsidR="008D15F0" w:rsidRPr="00305AEB" w:rsidRDefault="008D15F0" w:rsidP="00186726">
      <w:pPr>
        <w:tabs>
          <w:tab w:val="left" w:pos="7371"/>
          <w:tab w:val="right" w:pos="8080"/>
        </w:tabs>
        <w:rPr>
          <w:rFonts w:cs="Tahoma"/>
          <w:szCs w:val="20"/>
        </w:rPr>
      </w:pPr>
      <w:r w:rsidRPr="00B204B7">
        <w:rPr>
          <w:rFonts w:cs="Tahoma"/>
          <w:szCs w:val="20"/>
        </w:rPr>
        <w:t xml:space="preserve">La </w:t>
      </w:r>
      <w:r w:rsidRPr="00B204B7">
        <w:rPr>
          <w:rFonts w:cs="Tahoma"/>
          <w:b/>
          <w:bCs/>
          <w:szCs w:val="20"/>
        </w:rPr>
        <w:t>residenza</w:t>
      </w:r>
      <w:r w:rsidRPr="00B204B7">
        <w:rPr>
          <w:rFonts w:cs="Tahoma"/>
          <w:szCs w:val="20"/>
        </w:rPr>
        <w:t xml:space="preserve"> è uno dei principi che attribuisce ad uno Stato la potestà impositiva nei confronti di un soggetto.</w:t>
      </w:r>
      <w:r w:rsidRPr="00305AEB">
        <w:rPr>
          <w:rFonts w:cs="Tahoma"/>
          <w:szCs w:val="20"/>
        </w:rPr>
        <w:t xml:space="preserve"> </w:t>
      </w:r>
    </w:p>
    <w:p w14:paraId="79D3945C" w14:textId="36B192B9" w:rsidR="00146555" w:rsidRDefault="00E74279" w:rsidP="00186726">
      <w:pPr>
        <w:tabs>
          <w:tab w:val="left" w:pos="7371"/>
          <w:tab w:val="right" w:pos="8080"/>
        </w:tabs>
        <w:rPr>
          <w:rFonts w:cs="Tahoma"/>
          <w:szCs w:val="20"/>
        </w:rPr>
      </w:pPr>
      <w:r>
        <w:rPr>
          <w:rFonts w:cs="Tahoma"/>
          <w:szCs w:val="20"/>
        </w:rPr>
        <w:t>È</w:t>
      </w:r>
      <w:r w:rsidR="008D15F0" w:rsidRPr="00305AEB">
        <w:rPr>
          <w:rFonts w:cs="Tahoma"/>
          <w:szCs w:val="20"/>
        </w:rPr>
        <w:t xml:space="preserve"> importante comprendere quando una persona fisica è considerata residente in uno specifico Paese perché le regole per la tassazione dei soggetti residenti e quelle per i soggetti non residenti differiscono.</w:t>
      </w:r>
    </w:p>
    <w:p w14:paraId="407783F3" w14:textId="78E46277" w:rsidR="008D15F0" w:rsidRDefault="00146555" w:rsidP="00186726">
      <w:pPr>
        <w:tabs>
          <w:tab w:val="left" w:pos="7371"/>
          <w:tab w:val="right" w:pos="8080"/>
        </w:tabs>
        <w:rPr>
          <w:rFonts w:cs="Tahoma"/>
          <w:szCs w:val="20"/>
        </w:rPr>
      </w:pPr>
      <w:r>
        <w:rPr>
          <w:rFonts w:cs="Tahoma"/>
          <w:szCs w:val="20"/>
        </w:rPr>
        <w:t>Ai sensi dell’art. 3 del TUIR, le persone fisiche residenti nel territorio dello Stato sono assoggettate a tassazione per i redditi ovunque prodotti, in Italia e all’estero (c.d. “</w:t>
      </w:r>
      <w:proofErr w:type="spellStart"/>
      <w:r>
        <w:rPr>
          <w:rFonts w:cs="Tahoma"/>
          <w:szCs w:val="20"/>
        </w:rPr>
        <w:t>worlwide</w:t>
      </w:r>
      <w:proofErr w:type="spellEnd"/>
      <w:r>
        <w:rPr>
          <w:rFonts w:cs="Tahoma"/>
          <w:szCs w:val="20"/>
        </w:rPr>
        <w:t xml:space="preserve"> </w:t>
      </w:r>
      <w:proofErr w:type="spellStart"/>
      <w:r>
        <w:rPr>
          <w:rFonts w:cs="Tahoma"/>
          <w:szCs w:val="20"/>
        </w:rPr>
        <w:t>principle</w:t>
      </w:r>
      <w:proofErr w:type="spellEnd"/>
      <w:r>
        <w:rPr>
          <w:rFonts w:cs="Tahoma"/>
          <w:szCs w:val="20"/>
        </w:rPr>
        <w:t>”).</w:t>
      </w:r>
      <w:r w:rsidR="008D15F0" w:rsidRPr="00305AEB">
        <w:rPr>
          <w:rFonts w:cs="Tahoma"/>
          <w:szCs w:val="20"/>
        </w:rPr>
        <w:t xml:space="preserve"> </w:t>
      </w:r>
    </w:p>
    <w:p w14:paraId="464B85FE" w14:textId="2C7D176D" w:rsidR="00AC045F" w:rsidRDefault="00AC045F" w:rsidP="00186726">
      <w:pPr>
        <w:tabs>
          <w:tab w:val="left" w:pos="7371"/>
          <w:tab w:val="right" w:pos="8080"/>
        </w:tabs>
        <w:rPr>
          <w:rFonts w:cs="Tahoma"/>
          <w:szCs w:val="20"/>
        </w:rPr>
      </w:pPr>
      <w:r>
        <w:rPr>
          <w:rFonts w:cs="Tahoma"/>
          <w:szCs w:val="20"/>
        </w:rPr>
        <w:t>I soggetti non residenti sono, invece, tassati in Italia solo in relazione ai redditi prodotti nel territorio dello Stato, in base ai criteri generali di territorialità dettati dall’art. 23 del TUIR.</w:t>
      </w:r>
    </w:p>
    <w:p w14:paraId="5342BE0E" w14:textId="47E24DDA" w:rsidR="00FA57F7" w:rsidRDefault="00853D16" w:rsidP="00186726">
      <w:pPr>
        <w:tabs>
          <w:tab w:val="left" w:pos="7371"/>
          <w:tab w:val="right" w:pos="8080"/>
        </w:tabs>
        <w:rPr>
          <w:rFonts w:cs="Tahoma"/>
          <w:szCs w:val="20"/>
        </w:rPr>
      </w:pPr>
      <w:r>
        <w:rPr>
          <w:rFonts w:cs="Tahoma"/>
          <w:szCs w:val="20"/>
        </w:rPr>
        <w:t>Qualsiasi indagine in merito alla territorialità dei redditi e al loro regime di tassazione implica la preventiva valutazione della residenza fiscale del percipiente.</w:t>
      </w:r>
    </w:p>
    <w:p w14:paraId="616B4E49" w14:textId="77777777" w:rsidR="007214C7" w:rsidRDefault="007214C7" w:rsidP="00FA57F7">
      <w:pPr>
        <w:pStyle w:val="NUOVOSOTTOPARAGRAFO"/>
        <w:rPr>
          <w:rFonts w:cs="Tahoma"/>
        </w:rPr>
      </w:pPr>
    </w:p>
    <w:p w14:paraId="67E06351" w14:textId="2C80B9F9" w:rsidR="00FA57F7" w:rsidRPr="00305AEB" w:rsidRDefault="00FA57F7" w:rsidP="00FA57F7">
      <w:pPr>
        <w:pStyle w:val="NUOVOSOTTOPARAGRAFO"/>
        <w:rPr>
          <w:rFonts w:cs="Tahoma"/>
        </w:rPr>
      </w:pPr>
      <w:bookmarkStart w:id="23" w:name="_Toc161933119"/>
      <w:r>
        <w:rPr>
          <w:rFonts w:cs="Tahoma"/>
        </w:rPr>
        <w:t>1</w:t>
      </w:r>
      <w:r w:rsidRPr="00305AEB">
        <w:rPr>
          <w:rFonts w:cs="Tahoma"/>
        </w:rPr>
        <w:t>.</w:t>
      </w:r>
      <w:r>
        <w:rPr>
          <w:rFonts w:cs="Tahoma"/>
        </w:rPr>
        <w:t>2</w:t>
      </w:r>
      <w:r w:rsidRPr="00305AEB">
        <w:rPr>
          <w:rFonts w:cs="Tahoma"/>
        </w:rPr>
        <w:t xml:space="preserve">.1 Criteri </w:t>
      </w:r>
      <w:r>
        <w:rPr>
          <w:rFonts w:cs="Tahoma"/>
        </w:rPr>
        <w:t>di individuazione della residenza fiscale delle persone fisiche</w:t>
      </w:r>
      <w:bookmarkEnd w:id="23"/>
    </w:p>
    <w:p w14:paraId="25C00380" w14:textId="5CAB0DE5" w:rsidR="00FA57F7" w:rsidRDefault="00394A48" w:rsidP="00186726">
      <w:pPr>
        <w:tabs>
          <w:tab w:val="left" w:pos="7371"/>
          <w:tab w:val="right" w:pos="8080"/>
        </w:tabs>
        <w:rPr>
          <w:rFonts w:cs="Tahoma"/>
          <w:szCs w:val="20"/>
        </w:rPr>
      </w:pPr>
      <w:r>
        <w:rPr>
          <w:rFonts w:cs="Tahoma"/>
          <w:szCs w:val="20"/>
        </w:rPr>
        <w:t>Ai fini delle imposte sui redditi, dall’1.1.2024, sono co</w:t>
      </w:r>
      <w:r w:rsidR="00B42A45">
        <w:rPr>
          <w:rFonts w:cs="Tahoma"/>
          <w:szCs w:val="20"/>
        </w:rPr>
        <w:t xml:space="preserve">nsiderate residenti le persone che, per la maggior parte del periodo d’imposta, considerando anche le frazioni di giorno (art. 2, comma 2 del TUIR, come riscritto dall’art. 1 del </w:t>
      </w:r>
      <w:proofErr w:type="spellStart"/>
      <w:r w:rsidR="00B42A45">
        <w:rPr>
          <w:rFonts w:cs="Tahoma"/>
          <w:szCs w:val="20"/>
        </w:rPr>
        <w:t>D.Lgs.</w:t>
      </w:r>
      <w:proofErr w:type="spellEnd"/>
      <w:r w:rsidR="00B42A45">
        <w:rPr>
          <w:rFonts w:cs="Tahoma"/>
          <w:szCs w:val="20"/>
        </w:rPr>
        <w:t xml:space="preserve"> n. 209 del 2023):</w:t>
      </w:r>
    </w:p>
    <w:p w14:paraId="338A1C4B" w14:textId="54A8DDA7" w:rsidR="00394A48" w:rsidRDefault="006A1630" w:rsidP="004C4769">
      <w:pPr>
        <w:pStyle w:val="Paragrafoelenco"/>
        <w:numPr>
          <w:ilvl w:val="0"/>
          <w:numId w:val="82"/>
        </w:numPr>
        <w:tabs>
          <w:tab w:val="left" w:pos="7371"/>
          <w:tab w:val="right" w:pos="8080"/>
        </w:tabs>
        <w:rPr>
          <w:rFonts w:cs="Tahoma"/>
          <w:szCs w:val="20"/>
        </w:rPr>
      </w:pPr>
      <w:r>
        <w:rPr>
          <w:rFonts w:cs="Tahoma"/>
          <w:szCs w:val="20"/>
        </w:rPr>
        <w:t>h</w:t>
      </w:r>
      <w:r w:rsidR="004C4769">
        <w:rPr>
          <w:rFonts w:cs="Tahoma"/>
          <w:szCs w:val="20"/>
        </w:rPr>
        <w:t xml:space="preserve">anno la residenza nel territorio dello Stato ai sensi dell’art. 43, comma 2 del </w:t>
      </w:r>
      <w:proofErr w:type="gramStart"/>
      <w:r w:rsidR="004C4769">
        <w:rPr>
          <w:rFonts w:cs="Tahoma"/>
          <w:szCs w:val="20"/>
        </w:rPr>
        <w:t>codice civile</w:t>
      </w:r>
      <w:proofErr w:type="gramEnd"/>
      <w:r w:rsidR="004C4769">
        <w:rPr>
          <w:rFonts w:cs="Tahoma"/>
          <w:szCs w:val="20"/>
        </w:rPr>
        <w:t xml:space="preserve"> (“la residenza è nel luogo in cui la persona ha la dimora abituale”);</w:t>
      </w:r>
    </w:p>
    <w:p w14:paraId="75088E64" w14:textId="60F49838" w:rsidR="004C4769" w:rsidRDefault="006A1630" w:rsidP="004C4769">
      <w:pPr>
        <w:pStyle w:val="Paragrafoelenco"/>
        <w:numPr>
          <w:ilvl w:val="0"/>
          <w:numId w:val="82"/>
        </w:numPr>
        <w:tabs>
          <w:tab w:val="left" w:pos="7371"/>
          <w:tab w:val="right" w:pos="8080"/>
        </w:tabs>
        <w:rPr>
          <w:rFonts w:cs="Tahoma"/>
          <w:szCs w:val="20"/>
        </w:rPr>
      </w:pPr>
      <w:r>
        <w:rPr>
          <w:rFonts w:cs="Tahoma"/>
          <w:szCs w:val="20"/>
        </w:rPr>
        <w:t>h</w:t>
      </w:r>
      <w:r w:rsidR="004C4769">
        <w:rPr>
          <w:rFonts w:cs="Tahoma"/>
          <w:szCs w:val="20"/>
        </w:rPr>
        <w:t xml:space="preserve">anno il domicilio nel territorio dello Stato (per domicilio, a tal fine si intende per espressa previsione dell’art. 2, comma 2 del TUIR, “il luogo in cui si sviluppano, in via principale, le relazioni personali </w:t>
      </w:r>
      <w:r w:rsidR="0030272C">
        <w:rPr>
          <w:rFonts w:cs="Tahoma"/>
          <w:szCs w:val="20"/>
        </w:rPr>
        <w:t>e familiari della persona”);</w:t>
      </w:r>
    </w:p>
    <w:p w14:paraId="2569C56B" w14:textId="4F35F52E" w:rsidR="0030272C" w:rsidRDefault="006A1630" w:rsidP="004C4769">
      <w:pPr>
        <w:pStyle w:val="Paragrafoelenco"/>
        <w:numPr>
          <w:ilvl w:val="0"/>
          <w:numId w:val="82"/>
        </w:numPr>
        <w:tabs>
          <w:tab w:val="left" w:pos="7371"/>
          <w:tab w:val="right" w:pos="8080"/>
        </w:tabs>
        <w:rPr>
          <w:rFonts w:cs="Tahoma"/>
          <w:szCs w:val="20"/>
        </w:rPr>
      </w:pPr>
      <w:r>
        <w:rPr>
          <w:rFonts w:cs="Tahoma"/>
          <w:szCs w:val="20"/>
        </w:rPr>
        <w:t>s</w:t>
      </w:r>
      <w:r w:rsidR="0030272C">
        <w:rPr>
          <w:rFonts w:cs="Tahoma"/>
          <w:szCs w:val="20"/>
        </w:rPr>
        <w:t>ono presenti nel territorio dello Stato;</w:t>
      </w:r>
    </w:p>
    <w:p w14:paraId="11645AD5" w14:textId="47D06CDC" w:rsidR="00394A48" w:rsidRPr="007214C7" w:rsidRDefault="006A1630" w:rsidP="007214C7">
      <w:pPr>
        <w:pStyle w:val="Paragrafoelenco"/>
        <w:numPr>
          <w:ilvl w:val="0"/>
          <w:numId w:val="82"/>
        </w:numPr>
        <w:tabs>
          <w:tab w:val="left" w:pos="7371"/>
          <w:tab w:val="right" w:pos="8080"/>
        </w:tabs>
        <w:rPr>
          <w:rFonts w:cs="Tahoma"/>
          <w:szCs w:val="20"/>
        </w:rPr>
      </w:pPr>
      <w:r>
        <w:rPr>
          <w:rFonts w:cs="Tahoma"/>
          <w:szCs w:val="20"/>
        </w:rPr>
        <w:t>s</w:t>
      </w:r>
      <w:r w:rsidR="0030272C">
        <w:rPr>
          <w:rFonts w:cs="Tahoma"/>
          <w:szCs w:val="20"/>
        </w:rPr>
        <w:t xml:space="preserve">alvo prova contraria, risultano iscritte nelle anagrafi della </w:t>
      </w:r>
      <w:r w:rsidR="00B726B9">
        <w:rPr>
          <w:rFonts w:cs="Tahoma"/>
          <w:szCs w:val="20"/>
        </w:rPr>
        <w:t>popolazione residente.</w:t>
      </w:r>
    </w:p>
    <w:p w14:paraId="39D2C5FE" w14:textId="77777777" w:rsidR="008D15F0" w:rsidRDefault="008D15F0" w:rsidP="00186726">
      <w:pPr>
        <w:tabs>
          <w:tab w:val="left" w:pos="7371"/>
          <w:tab w:val="right" w:pos="8080"/>
        </w:tabs>
        <w:rPr>
          <w:rFonts w:cs="Tahoma"/>
          <w:szCs w:val="20"/>
        </w:rPr>
      </w:pPr>
      <w:r w:rsidRPr="00305AEB">
        <w:rPr>
          <w:rFonts w:cs="Tahoma"/>
          <w:szCs w:val="20"/>
        </w:rPr>
        <w:t xml:space="preserve">Per quanto riguarda tali requisiti, essendo tra loro alternativi, è sufficiente che soltanto uno di essi si verifichi per stabilire che la Persona Fisica è residente nel territorio dello Stato. </w:t>
      </w:r>
    </w:p>
    <w:p w14:paraId="144644E6" w14:textId="32F433B8" w:rsidR="002C2F31" w:rsidRDefault="002C2F31" w:rsidP="00186726">
      <w:pPr>
        <w:tabs>
          <w:tab w:val="left" w:pos="7371"/>
          <w:tab w:val="right" w:pos="8080"/>
        </w:tabs>
        <w:rPr>
          <w:rFonts w:cs="Tahoma"/>
          <w:szCs w:val="20"/>
        </w:rPr>
      </w:pPr>
      <w:r>
        <w:rPr>
          <w:rFonts w:cs="Tahoma"/>
          <w:szCs w:val="20"/>
        </w:rPr>
        <w:t xml:space="preserve">D’altra parte, perché sussista la “residenza fiscale”, è necessario che almeno una delle tre condizioni (residenza, domicilio, presenza), sopra indicate sussista per la maggior parte del periodo d’imposta, vale a dire </w:t>
      </w:r>
      <w:r w:rsidR="002A227C">
        <w:rPr>
          <w:rFonts w:cs="Tahoma"/>
          <w:szCs w:val="20"/>
        </w:rPr>
        <w:t xml:space="preserve">per un periodo pari ad almeno 183 </w:t>
      </w:r>
      <w:r w:rsidR="00492E88">
        <w:rPr>
          <w:rFonts w:cs="Tahoma"/>
          <w:szCs w:val="20"/>
        </w:rPr>
        <w:t>o</w:t>
      </w:r>
      <w:r w:rsidR="002A227C">
        <w:rPr>
          <w:rFonts w:cs="Tahoma"/>
          <w:szCs w:val="20"/>
        </w:rPr>
        <w:t xml:space="preserve"> 184 giorni anche non continuativi (elemento temporale).</w:t>
      </w:r>
    </w:p>
    <w:p w14:paraId="2A6A5E54" w14:textId="2353B92C" w:rsidR="002C2F31" w:rsidRDefault="00EC240F" w:rsidP="00186726">
      <w:pPr>
        <w:tabs>
          <w:tab w:val="left" w:pos="7371"/>
          <w:tab w:val="right" w:pos="8080"/>
        </w:tabs>
        <w:rPr>
          <w:rFonts w:cs="Tahoma"/>
          <w:szCs w:val="20"/>
        </w:rPr>
      </w:pPr>
      <w:r>
        <w:rPr>
          <w:rFonts w:cs="Tahoma"/>
          <w:szCs w:val="20"/>
        </w:rPr>
        <w:lastRenderedPageBreak/>
        <w:t>L’ultima condizione (iscrizione anagrafica), invece, ha natura attenuata, in quanto, a differenza degli altri tre, è elemento formale che patisce la prova contraria, ovvero può essere superato dalla prova di non aver effettivamente avuto la residenza, in domicilio o la presenza fisica in Italia.</w:t>
      </w:r>
    </w:p>
    <w:p w14:paraId="6ED2EDFC" w14:textId="521972C1" w:rsidR="00EC240F" w:rsidRDefault="00EC240F" w:rsidP="00186726">
      <w:pPr>
        <w:tabs>
          <w:tab w:val="left" w:pos="7371"/>
          <w:tab w:val="right" w:pos="8080"/>
        </w:tabs>
        <w:rPr>
          <w:rFonts w:cs="Tahoma"/>
          <w:szCs w:val="20"/>
        </w:rPr>
      </w:pPr>
      <w:r>
        <w:rPr>
          <w:rFonts w:cs="Tahoma"/>
          <w:szCs w:val="20"/>
        </w:rPr>
        <w:t>La nuova norma</w:t>
      </w:r>
      <w:r w:rsidR="000770B5">
        <w:rPr>
          <w:rFonts w:cs="Tahoma"/>
          <w:szCs w:val="20"/>
        </w:rPr>
        <w:t xml:space="preserve"> (introdotta dall’art.1 del </w:t>
      </w:r>
      <w:proofErr w:type="spellStart"/>
      <w:r w:rsidR="000770B5">
        <w:rPr>
          <w:rFonts w:cs="Tahoma"/>
          <w:szCs w:val="20"/>
        </w:rPr>
        <w:t>D.Lgs.</w:t>
      </w:r>
      <w:proofErr w:type="spellEnd"/>
      <w:r w:rsidR="000770B5">
        <w:rPr>
          <w:rFonts w:cs="Tahoma"/>
          <w:szCs w:val="20"/>
        </w:rPr>
        <w:t xml:space="preserve"> n. 209 del 2023) ha inserito per la prima volta, tra i criteri per l’individuazione della residenza fiscale, il riferimento alla presenza fisica, togliendo, invece, efficacia al requisito</w:t>
      </w:r>
      <w:r w:rsidR="002049A6">
        <w:rPr>
          <w:rFonts w:cs="Tahoma"/>
          <w:szCs w:val="20"/>
        </w:rPr>
        <w:t xml:space="preserve"> anagrafico (formale) che, nella previgente versione normativa veniva ritenuto prevalente anche sul dato sostanziale e che, invece, dall’1.1.20</w:t>
      </w:r>
      <w:r w:rsidR="006A1630">
        <w:rPr>
          <w:rFonts w:cs="Tahoma"/>
          <w:szCs w:val="20"/>
        </w:rPr>
        <w:t>2</w:t>
      </w:r>
      <w:r w:rsidR="002049A6">
        <w:rPr>
          <w:rFonts w:cs="Tahoma"/>
          <w:szCs w:val="20"/>
        </w:rPr>
        <w:t>4, rileva “salvo prova contraria”, quindi, può essere superato.</w:t>
      </w:r>
    </w:p>
    <w:p w14:paraId="23D3A244" w14:textId="2F24126B" w:rsidR="00713AAA" w:rsidRDefault="00713AAA" w:rsidP="00186726">
      <w:pPr>
        <w:tabs>
          <w:tab w:val="left" w:pos="7371"/>
          <w:tab w:val="right" w:pos="8080"/>
        </w:tabs>
        <w:rPr>
          <w:rFonts w:cs="Tahoma"/>
          <w:szCs w:val="20"/>
        </w:rPr>
      </w:pPr>
      <w:r>
        <w:rPr>
          <w:rFonts w:cs="Tahoma"/>
          <w:szCs w:val="20"/>
        </w:rPr>
        <w:t>Per esempio, il soggetto, trasferito all’estero, che abbia mantenuto in Italia l’iscrizione anagrafica, non essendosi iscritto all’AIRE, non potrà più, dall’1.1.2024, essere considerato fiscalmente residente in Italia se prova di non aver avuto in Italia, per la maggior parte del periodo di imposta, la residenza civilistica né il domicilio (come inteso dall’art. 2, comma 2 del TUIR) e di non essere stato presente sul territorio nazionale per la maggior parte del periodo di imposta.</w:t>
      </w:r>
    </w:p>
    <w:p w14:paraId="3F0FACD3" w14:textId="74F64AC6" w:rsidR="00D73AB4" w:rsidRDefault="00D73AB4" w:rsidP="00186726">
      <w:pPr>
        <w:tabs>
          <w:tab w:val="left" w:pos="7371"/>
          <w:tab w:val="right" w:pos="8080"/>
        </w:tabs>
        <w:rPr>
          <w:rFonts w:cs="Tahoma"/>
          <w:szCs w:val="20"/>
        </w:rPr>
      </w:pPr>
      <w:r>
        <w:rPr>
          <w:rFonts w:cs="Tahoma"/>
          <w:szCs w:val="20"/>
        </w:rPr>
        <w:t>Rispetto alla formulazione normativa anteriore all’1.1.2024, il nuovo art. 2, comma 2 del TUIR ha modificato in modo incisivo la definizione di domicilio che, secondo la previgente disciplina era da individuare, ai sensi dell’art. 43, comma 1 del codice civile nel luogo in cui la persona</w:t>
      </w:r>
      <w:r w:rsidR="009C2D97">
        <w:rPr>
          <w:rFonts w:cs="Tahoma"/>
          <w:szCs w:val="20"/>
        </w:rPr>
        <w:t xml:space="preserve"> “ha stabilito la sede principale dei suoi affari e interessi”, mentre oggi va inteso come “luogo in cui si sviluppano, in via principale, le relazioni personali e familiari della persona”, attenuando, quindi, il riferimento alla sfera professionale ed economica a favore di quella personale e familiare.</w:t>
      </w:r>
    </w:p>
    <w:p w14:paraId="2ED3EA66" w14:textId="77777777" w:rsidR="002C2F31" w:rsidRDefault="002C2F31" w:rsidP="00186726">
      <w:pPr>
        <w:tabs>
          <w:tab w:val="left" w:pos="7371"/>
          <w:tab w:val="right" w:pos="8080"/>
        </w:tabs>
        <w:rPr>
          <w:rFonts w:cs="Tahoma"/>
          <w:szCs w:val="20"/>
        </w:rPr>
      </w:pPr>
    </w:p>
    <w:p w14:paraId="7ED08FEE" w14:textId="53752D08" w:rsidR="008D15F0" w:rsidRPr="00305AEB" w:rsidRDefault="008D15F0" w:rsidP="00186726">
      <w:pPr>
        <w:pStyle w:val="Sottotitolo"/>
        <w:numPr>
          <w:ilvl w:val="0"/>
          <w:numId w:val="0"/>
        </w:numPr>
        <w:rPr>
          <w:rFonts w:cs="Tahoma"/>
          <w:spacing w:val="0"/>
        </w:rPr>
      </w:pPr>
      <w:bookmarkStart w:id="24" w:name="_Toc161933120"/>
      <w:r w:rsidRPr="00305AEB">
        <w:rPr>
          <w:rFonts w:cs="Tahoma"/>
          <w:spacing w:val="0"/>
        </w:rPr>
        <w:t>1.3 Trasferimento della residenza in paradisi fiscali</w:t>
      </w:r>
      <w:bookmarkEnd w:id="24"/>
    </w:p>
    <w:p w14:paraId="222E8D68" w14:textId="77777777" w:rsidR="008D15F0" w:rsidRPr="00305AEB" w:rsidRDefault="008D15F0" w:rsidP="00186726">
      <w:pPr>
        <w:tabs>
          <w:tab w:val="left" w:pos="7371"/>
          <w:tab w:val="right" w:pos="8080"/>
        </w:tabs>
        <w:rPr>
          <w:rFonts w:cs="Tahoma"/>
          <w:szCs w:val="20"/>
        </w:rPr>
      </w:pPr>
      <w:r w:rsidRPr="00305AEB">
        <w:rPr>
          <w:rFonts w:cs="Tahoma"/>
          <w:szCs w:val="20"/>
        </w:rPr>
        <w:t>A norma dell’art. 2, comma 2-bis del TUIR, i cittadini italiani cancellati dalle anagrafi della popolazione residente e trasferiti in Paesi a fiscalità privilegiata si considerano residenti in Italia, salvo prova contraria. A tal fine, occorre fare riferimento alla black list emanata con il DM 4.5.99.</w:t>
      </w:r>
    </w:p>
    <w:p w14:paraId="00DCCCAE" w14:textId="6C8C18A4" w:rsidR="002B7620" w:rsidRDefault="008D15F0" w:rsidP="00186726">
      <w:pPr>
        <w:tabs>
          <w:tab w:val="left" w:pos="7371"/>
          <w:tab w:val="right" w:pos="8080"/>
        </w:tabs>
        <w:rPr>
          <w:rFonts w:cs="Tahoma"/>
          <w:szCs w:val="20"/>
        </w:rPr>
      </w:pPr>
      <w:r w:rsidRPr="00305AEB">
        <w:rPr>
          <w:rFonts w:cs="Tahoma"/>
          <w:szCs w:val="20"/>
        </w:rPr>
        <w:t>La norma non incide sui presupposti a fronte dei quali il soggetto si considera residente ai fini fiscali in Italia piuttosto che all’estero, bensì pone a carico del soggetto che si è trasferito all’estero l’onere di dimostrare la propria residenza estera, laddove in termini generali è invece, l’Amministrazione finanziaria che, se intende accertare la residenza italiana di un determinato soggetto, deve provare la sussistenza delle condizioni che possano avvalorare il proprio convincimento (sul punto si veda la C.M. n. 140/E del 1999)</w:t>
      </w:r>
      <w:r w:rsidR="002B7620">
        <w:rPr>
          <w:rFonts w:cs="Tahoma"/>
          <w:szCs w:val="20"/>
        </w:rPr>
        <w:t>.</w:t>
      </w:r>
    </w:p>
    <w:p w14:paraId="1100D6D2" w14:textId="77777777" w:rsidR="008D15F0" w:rsidRPr="00305AEB" w:rsidRDefault="008D15F0" w:rsidP="00186726">
      <w:pPr>
        <w:tabs>
          <w:tab w:val="left" w:pos="7371"/>
          <w:tab w:val="right" w:pos="8080"/>
        </w:tabs>
        <w:rPr>
          <w:rFonts w:cs="Tahoma"/>
          <w:szCs w:val="20"/>
        </w:rPr>
      </w:pPr>
      <w:r w:rsidRPr="00305AEB">
        <w:rPr>
          <w:rFonts w:cs="Tahoma"/>
          <w:szCs w:val="20"/>
        </w:rPr>
        <w:t>Ai fini della dimostrazione dell’effettivo trasferimento della residenza fiscale all’estero, il contribuente potrebbe utilizzare gli elementi di prova individuati nella C.M. n. 304/E del 1997, ovvero:</w:t>
      </w:r>
    </w:p>
    <w:p w14:paraId="683DF7D9" w14:textId="77777777" w:rsidR="008D15F0" w:rsidRPr="00305AEB" w:rsidRDefault="008D15F0" w:rsidP="00186726">
      <w:pPr>
        <w:pStyle w:val="Paragrafoelenco"/>
        <w:numPr>
          <w:ilvl w:val="0"/>
          <w:numId w:val="8"/>
        </w:numPr>
        <w:tabs>
          <w:tab w:val="left" w:pos="7371"/>
          <w:tab w:val="right" w:pos="8080"/>
        </w:tabs>
        <w:rPr>
          <w:rFonts w:cs="Tahoma"/>
          <w:szCs w:val="20"/>
        </w:rPr>
      </w:pPr>
      <w:r w:rsidRPr="00305AEB">
        <w:rPr>
          <w:rFonts w:cs="Tahoma"/>
          <w:szCs w:val="20"/>
        </w:rPr>
        <w:lastRenderedPageBreak/>
        <w:t>disponibilità di un’abitazione permanente nel Paese estero adeguata ai bisogni abitativi personali e familiari;</w:t>
      </w:r>
    </w:p>
    <w:p w14:paraId="2C5A3D90" w14:textId="77777777" w:rsidR="008D15F0" w:rsidRPr="00305AEB" w:rsidRDefault="008D15F0" w:rsidP="00186726">
      <w:pPr>
        <w:pStyle w:val="Paragrafoelenco"/>
        <w:numPr>
          <w:ilvl w:val="0"/>
          <w:numId w:val="8"/>
        </w:numPr>
        <w:tabs>
          <w:tab w:val="left" w:pos="7371"/>
          <w:tab w:val="right" w:pos="8080"/>
        </w:tabs>
        <w:rPr>
          <w:rFonts w:cs="Tahoma"/>
          <w:szCs w:val="20"/>
        </w:rPr>
      </w:pPr>
      <w:r w:rsidRPr="00305AEB">
        <w:rPr>
          <w:rFonts w:cs="Tahoma"/>
          <w:szCs w:val="20"/>
        </w:rPr>
        <w:t>stipula di contratti di locazione o acquisto di immobili residenziali adeguati ai bisogni abitativi personali e familiari;</w:t>
      </w:r>
    </w:p>
    <w:p w14:paraId="1CF88F36" w14:textId="77777777" w:rsidR="008D15F0" w:rsidRPr="00305AEB" w:rsidRDefault="008D15F0" w:rsidP="00186726">
      <w:pPr>
        <w:pStyle w:val="Paragrafoelenco"/>
        <w:numPr>
          <w:ilvl w:val="0"/>
          <w:numId w:val="8"/>
        </w:numPr>
        <w:tabs>
          <w:tab w:val="left" w:pos="7371"/>
          <w:tab w:val="right" w:pos="8080"/>
        </w:tabs>
        <w:rPr>
          <w:rFonts w:cs="Tahoma"/>
          <w:szCs w:val="20"/>
        </w:rPr>
      </w:pPr>
      <w:r w:rsidRPr="00305AEB">
        <w:rPr>
          <w:rFonts w:cs="Tahoma"/>
          <w:szCs w:val="20"/>
        </w:rPr>
        <w:t>pagamento di canoni per la fornitura di servizi (acqua, luce, gas, telefono, ecc.) nel Paese estero;</w:t>
      </w:r>
    </w:p>
    <w:p w14:paraId="069AD28D" w14:textId="77777777" w:rsidR="008D15F0" w:rsidRPr="00305AEB" w:rsidRDefault="008D15F0" w:rsidP="00186726">
      <w:pPr>
        <w:pStyle w:val="Paragrafoelenco"/>
        <w:numPr>
          <w:ilvl w:val="0"/>
          <w:numId w:val="8"/>
        </w:numPr>
        <w:tabs>
          <w:tab w:val="left" w:pos="7371"/>
          <w:tab w:val="right" w:pos="8080"/>
        </w:tabs>
        <w:rPr>
          <w:rFonts w:cs="Tahoma"/>
          <w:szCs w:val="20"/>
        </w:rPr>
      </w:pPr>
      <w:r w:rsidRPr="00305AEB">
        <w:rPr>
          <w:rFonts w:cs="Tahoma"/>
          <w:szCs w:val="20"/>
        </w:rPr>
        <w:t>assenza di unità immobiliare tenute a disposizione in Italia;</w:t>
      </w:r>
    </w:p>
    <w:p w14:paraId="7C8C2D15" w14:textId="77777777" w:rsidR="008D15F0" w:rsidRPr="00305AEB" w:rsidRDefault="008D15F0" w:rsidP="00186726">
      <w:pPr>
        <w:pStyle w:val="Paragrafoelenco"/>
        <w:numPr>
          <w:ilvl w:val="0"/>
          <w:numId w:val="8"/>
        </w:numPr>
        <w:tabs>
          <w:tab w:val="left" w:pos="7371"/>
          <w:tab w:val="right" w:pos="8080"/>
        </w:tabs>
        <w:rPr>
          <w:rFonts w:cs="Tahoma"/>
          <w:szCs w:val="20"/>
        </w:rPr>
      </w:pPr>
      <w:r w:rsidRPr="00305AEB">
        <w:rPr>
          <w:rFonts w:cs="Tahoma"/>
          <w:szCs w:val="20"/>
        </w:rPr>
        <w:t>svolgimento di un rapporto di lavoro a carattere continuativo o di attività economica nel Paese estero;</w:t>
      </w:r>
    </w:p>
    <w:p w14:paraId="28AA71DF" w14:textId="77777777" w:rsidR="008D15F0" w:rsidRPr="00305AEB" w:rsidRDefault="008D15F0" w:rsidP="00186726">
      <w:pPr>
        <w:pStyle w:val="Paragrafoelenco"/>
        <w:numPr>
          <w:ilvl w:val="0"/>
          <w:numId w:val="8"/>
        </w:numPr>
        <w:tabs>
          <w:tab w:val="left" w:pos="7371"/>
          <w:tab w:val="right" w:pos="8080"/>
        </w:tabs>
        <w:rPr>
          <w:rFonts w:cs="Tahoma"/>
          <w:szCs w:val="20"/>
        </w:rPr>
      </w:pPr>
      <w:r w:rsidRPr="00305AEB">
        <w:rPr>
          <w:rFonts w:cs="Tahoma"/>
          <w:szCs w:val="20"/>
        </w:rPr>
        <w:t>mantenimento della famiglia all’estero, con iscrizione ed effettiva frequenza dei figli in istituti scolastici o di formazione del Paese estero;</w:t>
      </w:r>
    </w:p>
    <w:p w14:paraId="2DDF3993" w14:textId="77777777" w:rsidR="008D15F0" w:rsidRPr="00305AEB" w:rsidRDefault="008D15F0" w:rsidP="00186726">
      <w:pPr>
        <w:pStyle w:val="Paragrafoelenco"/>
        <w:numPr>
          <w:ilvl w:val="0"/>
          <w:numId w:val="8"/>
        </w:numPr>
        <w:tabs>
          <w:tab w:val="left" w:pos="7371"/>
          <w:tab w:val="right" w:pos="8080"/>
        </w:tabs>
        <w:rPr>
          <w:rFonts w:cs="Tahoma"/>
          <w:szCs w:val="20"/>
        </w:rPr>
      </w:pPr>
      <w:r w:rsidRPr="00305AEB">
        <w:rPr>
          <w:rFonts w:cs="Tahoma"/>
          <w:szCs w:val="20"/>
        </w:rPr>
        <w:t>accreditamento nel Paese estero di proventi ovunque conseguiti e movimentazione di somme di denaro o altre attività finanziarie;</w:t>
      </w:r>
    </w:p>
    <w:p w14:paraId="67B093C4" w14:textId="77777777" w:rsidR="008D15F0" w:rsidRPr="00305AEB" w:rsidRDefault="008D15F0" w:rsidP="00186726">
      <w:pPr>
        <w:pStyle w:val="Paragrafoelenco"/>
        <w:numPr>
          <w:ilvl w:val="0"/>
          <w:numId w:val="8"/>
        </w:numPr>
        <w:tabs>
          <w:tab w:val="left" w:pos="7371"/>
          <w:tab w:val="right" w:pos="8080"/>
        </w:tabs>
        <w:rPr>
          <w:rFonts w:cs="Tahoma"/>
          <w:szCs w:val="20"/>
        </w:rPr>
      </w:pPr>
      <w:r w:rsidRPr="00305AEB">
        <w:rPr>
          <w:rFonts w:cs="Tahoma"/>
          <w:szCs w:val="20"/>
        </w:rPr>
        <w:t>possesso all’estero di beni anche mobiliari;</w:t>
      </w:r>
    </w:p>
    <w:p w14:paraId="7C21BE76" w14:textId="77777777" w:rsidR="008D15F0" w:rsidRPr="00305AEB" w:rsidRDefault="008D15F0" w:rsidP="00186726">
      <w:pPr>
        <w:pStyle w:val="Paragrafoelenco"/>
        <w:numPr>
          <w:ilvl w:val="0"/>
          <w:numId w:val="8"/>
        </w:numPr>
        <w:tabs>
          <w:tab w:val="left" w:pos="7371"/>
          <w:tab w:val="right" w:pos="8080"/>
        </w:tabs>
        <w:rPr>
          <w:rFonts w:cs="Tahoma"/>
          <w:szCs w:val="20"/>
        </w:rPr>
      </w:pPr>
      <w:r w:rsidRPr="00305AEB">
        <w:rPr>
          <w:rFonts w:cs="Tahoma"/>
          <w:szCs w:val="20"/>
        </w:rPr>
        <w:t>eventuale iscrizione nelle liste elettorali del Paese estero.</w:t>
      </w:r>
    </w:p>
    <w:p w14:paraId="3594A32A" w14:textId="77777777" w:rsidR="008D15F0" w:rsidRPr="00305AEB" w:rsidRDefault="008D15F0" w:rsidP="00186726">
      <w:pPr>
        <w:tabs>
          <w:tab w:val="left" w:pos="7371"/>
          <w:tab w:val="right" w:pos="8080"/>
        </w:tabs>
        <w:rPr>
          <w:rFonts w:cs="Tahoma"/>
          <w:szCs w:val="20"/>
        </w:rPr>
      </w:pPr>
    </w:p>
    <w:p w14:paraId="2244441F" w14:textId="77777777" w:rsidR="008D15F0" w:rsidRPr="00305AEB" w:rsidRDefault="008D15F0" w:rsidP="00186726">
      <w:pPr>
        <w:pStyle w:val="Sottotitolo"/>
        <w:numPr>
          <w:ilvl w:val="0"/>
          <w:numId w:val="0"/>
        </w:numPr>
        <w:rPr>
          <w:rFonts w:cs="Tahoma"/>
          <w:spacing w:val="0"/>
        </w:rPr>
      </w:pPr>
      <w:bookmarkStart w:id="25" w:name="_Toc161933121"/>
      <w:r w:rsidRPr="00305AEB">
        <w:rPr>
          <w:rFonts w:cs="Tahoma"/>
          <w:spacing w:val="0"/>
        </w:rPr>
        <w:t>1.4 La residenza nelle Convenzioni contro le doppie imposizioni</w:t>
      </w:r>
      <w:bookmarkEnd w:id="25"/>
    </w:p>
    <w:p w14:paraId="2FF62624" w14:textId="77777777" w:rsidR="008D15F0" w:rsidRPr="00305AEB" w:rsidRDefault="008D15F0" w:rsidP="00186726">
      <w:pPr>
        <w:tabs>
          <w:tab w:val="left" w:pos="7371"/>
          <w:tab w:val="right" w:pos="8080"/>
        </w:tabs>
        <w:rPr>
          <w:rFonts w:cs="Tahoma"/>
          <w:szCs w:val="20"/>
        </w:rPr>
      </w:pPr>
      <w:r w:rsidRPr="00305AEB">
        <w:rPr>
          <w:rFonts w:cs="Tahoma"/>
          <w:szCs w:val="20"/>
        </w:rPr>
        <w:t>L’applicazione dei criteri nazionali per la determinazione della residenza fiscale può determinare fenomeni di “doppia residenza fiscale”, per dirimere i quali gli Stati possono stipulare convenzioni internazionali (c.d. “Convenzioni contro le doppie imposizioni”).</w:t>
      </w:r>
    </w:p>
    <w:p w14:paraId="1121F47E" w14:textId="77777777" w:rsidR="008D15F0" w:rsidRPr="00305AEB" w:rsidRDefault="008D15F0" w:rsidP="00186726">
      <w:pPr>
        <w:tabs>
          <w:tab w:val="left" w:pos="7371"/>
          <w:tab w:val="right" w:pos="8080"/>
        </w:tabs>
        <w:rPr>
          <w:rFonts w:cs="Tahoma"/>
          <w:szCs w:val="20"/>
        </w:rPr>
      </w:pPr>
      <w:r w:rsidRPr="00305AEB">
        <w:rPr>
          <w:rFonts w:cs="Tahoma"/>
          <w:szCs w:val="20"/>
        </w:rPr>
        <w:t>La situazione di doppia residenza va risolta in base alla Convenzione contro le doppie imposizioni (risposta interpello Agenzia Entrate n. 25 del 2018).</w:t>
      </w:r>
    </w:p>
    <w:p w14:paraId="5EAD4F34" w14:textId="77777777" w:rsidR="008D15F0" w:rsidRPr="00305AEB" w:rsidRDefault="008D15F0" w:rsidP="00186726">
      <w:pPr>
        <w:tabs>
          <w:tab w:val="left" w:pos="7371"/>
          <w:tab w:val="right" w:pos="8080"/>
        </w:tabs>
        <w:rPr>
          <w:rFonts w:cs="Tahoma"/>
          <w:szCs w:val="20"/>
        </w:rPr>
      </w:pPr>
      <w:r w:rsidRPr="00305AEB">
        <w:rPr>
          <w:rFonts w:cs="Tahoma"/>
          <w:szCs w:val="20"/>
        </w:rPr>
        <w:t>L’OCSE ha fissato uno standard di Convenzione bilaterale contro le doppie imposizioni, recepito in genere nelle Convenzioni stipulate dall’Italia, le quali coprono la maggior parte degli scambi transnazionali.</w:t>
      </w:r>
    </w:p>
    <w:p w14:paraId="39C45808" w14:textId="77777777" w:rsidR="008D15F0" w:rsidRPr="00305AEB" w:rsidRDefault="008D15F0" w:rsidP="00186726">
      <w:pPr>
        <w:tabs>
          <w:tab w:val="left" w:pos="7371"/>
          <w:tab w:val="right" w:pos="8080"/>
        </w:tabs>
        <w:rPr>
          <w:rFonts w:cs="Tahoma"/>
          <w:szCs w:val="20"/>
        </w:rPr>
      </w:pPr>
      <w:r w:rsidRPr="00305AEB">
        <w:rPr>
          <w:rFonts w:cs="Tahoma"/>
          <w:szCs w:val="20"/>
        </w:rPr>
        <w:t xml:space="preserve">In particolare, l’art. 4 del modello OCSE precisa che il termine “residente di uno Stato contraente” designa “ogni persona che, in virtù della legislazione di detto Stato, è ivi assoggettata </w:t>
      </w:r>
      <w:proofErr w:type="spellStart"/>
      <w:r w:rsidRPr="00305AEB">
        <w:rPr>
          <w:rFonts w:cs="Tahoma"/>
          <w:szCs w:val="20"/>
        </w:rPr>
        <w:t>ad</w:t>
      </w:r>
      <w:proofErr w:type="spellEnd"/>
      <w:r w:rsidRPr="00305AEB">
        <w:rPr>
          <w:rFonts w:cs="Tahoma"/>
          <w:szCs w:val="20"/>
        </w:rPr>
        <w:t xml:space="preserve"> imposta, a </w:t>
      </w:r>
      <w:proofErr w:type="spellStart"/>
      <w:r w:rsidRPr="00305AEB">
        <w:rPr>
          <w:rFonts w:cs="Tahoma"/>
          <w:szCs w:val="20"/>
        </w:rPr>
        <w:t>motivo</w:t>
      </w:r>
      <w:proofErr w:type="spellEnd"/>
      <w:r w:rsidRPr="00305AEB">
        <w:rPr>
          <w:rFonts w:cs="Tahoma"/>
          <w:szCs w:val="20"/>
        </w:rPr>
        <w:t xml:space="preserve"> del suo domicilio, della sua residenza, della sede della sua direzione, o di ogni altro criterio di natura analoga”.</w:t>
      </w:r>
    </w:p>
    <w:p w14:paraId="3C71F217" w14:textId="77777777" w:rsidR="008D15F0" w:rsidRPr="00305AEB" w:rsidRDefault="008D15F0" w:rsidP="00186726">
      <w:pPr>
        <w:tabs>
          <w:tab w:val="left" w:pos="7371"/>
          <w:tab w:val="right" w:pos="8080"/>
        </w:tabs>
        <w:rPr>
          <w:rFonts w:cs="Tahoma"/>
          <w:szCs w:val="20"/>
        </w:rPr>
      </w:pPr>
      <w:r w:rsidRPr="00305AEB">
        <w:rPr>
          <w:rFonts w:cs="Tahoma"/>
          <w:szCs w:val="20"/>
        </w:rPr>
        <w:t>Per le persone fisiche, il modello di OCSE individua alcune regole (dette “</w:t>
      </w:r>
      <w:proofErr w:type="spellStart"/>
      <w:r w:rsidRPr="00305AEB">
        <w:rPr>
          <w:rFonts w:cs="Tahoma"/>
          <w:szCs w:val="20"/>
        </w:rPr>
        <w:t>tie-breaker</w:t>
      </w:r>
      <w:proofErr w:type="spellEnd"/>
      <w:r w:rsidRPr="00305AEB">
        <w:rPr>
          <w:rFonts w:cs="Tahoma"/>
          <w:szCs w:val="20"/>
        </w:rPr>
        <w:t xml:space="preserve"> rules”) per dirimere il conflitto di residenza che sorge ove un soggetto, in applicazione delle leggi nazionali, risulti residente in entrambi gli Stati contraenti. Si tratta di autonomi criteri di collegamento ai fini dell’attribuzione della residenza ad uno solo degli Stati contraenti, risolvendo in tal modo il conflitto di sovranità impositiva fra gli Stati.</w:t>
      </w:r>
    </w:p>
    <w:p w14:paraId="7A612542" w14:textId="77777777" w:rsidR="008D15F0" w:rsidRPr="00305AEB" w:rsidRDefault="008D15F0" w:rsidP="00186726">
      <w:pPr>
        <w:tabs>
          <w:tab w:val="left" w:pos="7371"/>
          <w:tab w:val="right" w:pos="8080"/>
        </w:tabs>
        <w:rPr>
          <w:rFonts w:cs="Tahoma"/>
          <w:szCs w:val="20"/>
        </w:rPr>
      </w:pPr>
      <w:r w:rsidRPr="00305AEB">
        <w:rPr>
          <w:rFonts w:cs="Tahoma"/>
          <w:szCs w:val="20"/>
        </w:rPr>
        <w:lastRenderedPageBreak/>
        <w:t>L’applicazione delle “</w:t>
      </w:r>
      <w:proofErr w:type="spellStart"/>
      <w:r w:rsidRPr="00305AEB">
        <w:rPr>
          <w:rFonts w:cs="Tahoma"/>
          <w:szCs w:val="20"/>
        </w:rPr>
        <w:t>tie-breaker</w:t>
      </w:r>
      <w:proofErr w:type="spellEnd"/>
      <w:r w:rsidRPr="00305AEB">
        <w:rPr>
          <w:rFonts w:cs="Tahoma"/>
          <w:szCs w:val="20"/>
        </w:rPr>
        <w:t xml:space="preserve"> rules” deve avvenire in conformità all’ordine gerarchico in cui sono enunciate, con impossibilità di accedere ai criteri successivi al primo qualora quest’ultimo sia stato soddisfatto:</w:t>
      </w:r>
    </w:p>
    <w:p w14:paraId="7BDF4B0F" w14:textId="77777777" w:rsidR="008D15F0" w:rsidRPr="00305AEB" w:rsidRDefault="008D15F0" w:rsidP="00186726">
      <w:pPr>
        <w:pStyle w:val="Paragrafoelenco"/>
        <w:numPr>
          <w:ilvl w:val="0"/>
          <w:numId w:val="9"/>
        </w:numPr>
        <w:tabs>
          <w:tab w:val="left" w:pos="7371"/>
          <w:tab w:val="right" w:pos="8080"/>
        </w:tabs>
        <w:rPr>
          <w:rFonts w:cs="Tahoma"/>
          <w:szCs w:val="20"/>
        </w:rPr>
      </w:pPr>
      <w:r w:rsidRPr="00305AEB">
        <w:rPr>
          <w:rFonts w:cs="Tahoma"/>
          <w:szCs w:val="20"/>
        </w:rPr>
        <w:t>abitazione permanente (</w:t>
      </w:r>
      <w:proofErr w:type="gramStart"/>
      <w:r w:rsidRPr="00305AEB">
        <w:rPr>
          <w:rFonts w:cs="Tahoma"/>
          <w:szCs w:val="20"/>
        </w:rPr>
        <w:t>1°</w:t>
      </w:r>
      <w:proofErr w:type="gramEnd"/>
      <w:r w:rsidRPr="00305AEB">
        <w:rPr>
          <w:rFonts w:cs="Tahoma"/>
          <w:szCs w:val="20"/>
        </w:rPr>
        <w:t xml:space="preserve"> rule);</w:t>
      </w:r>
    </w:p>
    <w:p w14:paraId="404F88D8" w14:textId="77777777" w:rsidR="008D15F0" w:rsidRPr="00305AEB" w:rsidRDefault="008D15F0" w:rsidP="00186726">
      <w:pPr>
        <w:pStyle w:val="Paragrafoelenco"/>
        <w:numPr>
          <w:ilvl w:val="0"/>
          <w:numId w:val="9"/>
        </w:numPr>
        <w:tabs>
          <w:tab w:val="left" w:pos="7371"/>
          <w:tab w:val="right" w:pos="8080"/>
        </w:tabs>
        <w:rPr>
          <w:rFonts w:cs="Tahoma"/>
          <w:szCs w:val="20"/>
        </w:rPr>
      </w:pPr>
      <w:r w:rsidRPr="00305AEB">
        <w:rPr>
          <w:rFonts w:cs="Tahoma"/>
          <w:szCs w:val="20"/>
        </w:rPr>
        <w:t>centro di interessi vitali (</w:t>
      </w:r>
      <w:proofErr w:type="gramStart"/>
      <w:r w:rsidRPr="00305AEB">
        <w:rPr>
          <w:rFonts w:cs="Tahoma"/>
          <w:szCs w:val="20"/>
        </w:rPr>
        <w:t>2°</w:t>
      </w:r>
      <w:proofErr w:type="gramEnd"/>
      <w:r w:rsidRPr="00305AEB">
        <w:rPr>
          <w:rFonts w:cs="Tahoma"/>
          <w:szCs w:val="20"/>
        </w:rPr>
        <w:t xml:space="preserve"> rule);</w:t>
      </w:r>
    </w:p>
    <w:p w14:paraId="46418CD4" w14:textId="77777777" w:rsidR="008D15F0" w:rsidRPr="00305AEB" w:rsidRDefault="008D15F0" w:rsidP="00186726">
      <w:pPr>
        <w:pStyle w:val="Paragrafoelenco"/>
        <w:numPr>
          <w:ilvl w:val="0"/>
          <w:numId w:val="9"/>
        </w:numPr>
        <w:tabs>
          <w:tab w:val="left" w:pos="7371"/>
          <w:tab w:val="right" w:pos="8080"/>
        </w:tabs>
        <w:rPr>
          <w:rFonts w:cs="Tahoma"/>
          <w:szCs w:val="20"/>
        </w:rPr>
      </w:pPr>
      <w:r w:rsidRPr="00305AEB">
        <w:rPr>
          <w:rFonts w:cs="Tahoma"/>
          <w:szCs w:val="20"/>
        </w:rPr>
        <w:t>luogo di soggiorno abituale (</w:t>
      </w:r>
      <w:proofErr w:type="gramStart"/>
      <w:r w:rsidRPr="00305AEB">
        <w:rPr>
          <w:rFonts w:cs="Tahoma"/>
          <w:szCs w:val="20"/>
        </w:rPr>
        <w:t>3°</w:t>
      </w:r>
      <w:proofErr w:type="gramEnd"/>
      <w:r w:rsidRPr="00305AEB">
        <w:rPr>
          <w:rFonts w:cs="Tahoma"/>
          <w:szCs w:val="20"/>
        </w:rPr>
        <w:t xml:space="preserve"> rule);</w:t>
      </w:r>
    </w:p>
    <w:p w14:paraId="5BC469FF" w14:textId="77777777" w:rsidR="008D15F0" w:rsidRPr="00305AEB" w:rsidRDefault="008D15F0" w:rsidP="00186726">
      <w:pPr>
        <w:pStyle w:val="Paragrafoelenco"/>
        <w:numPr>
          <w:ilvl w:val="0"/>
          <w:numId w:val="9"/>
        </w:numPr>
        <w:tabs>
          <w:tab w:val="left" w:pos="7371"/>
          <w:tab w:val="right" w:pos="8080"/>
        </w:tabs>
        <w:rPr>
          <w:rFonts w:cs="Tahoma"/>
          <w:szCs w:val="20"/>
        </w:rPr>
      </w:pPr>
      <w:r w:rsidRPr="00305AEB">
        <w:rPr>
          <w:rFonts w:cs="Tahoma"/>
          <w:szCs w:val="20"/>
        </w:rPr>
        <w:t>nazionalità (</w:t>
      </w:r>
      <w:proofErr w:type="gramStart"/>
      <w:r w:rsidRPr="00305AEB">
        <w:rPr>
          <w:rFonts w:cs="Tahoma"/>
          <w:szCs w:val="20"/>
        </w:rPr>
        <w:t>4°</w:t>
      </w:r>
      <w:proofErr w:type="gramEnd"/>
      <w:r w:rsidRPr="00305AEB">
        <w:rPr>
          <w:rFonts w:cs="Tahoma"/>
          <w:szCs w:val="20"/>
        </w:rPr>
        <w:t xml:space="preserve"> rule);</w:t>
      </w:r>
    </w:p>
    <w:p w14:paraId="19233255" w14:textId="77777777" w:rsidR="008D15F0" w:rsidRPr="00305AEB" w:rsidRDefault="008D15F0" w:rsidP="00186726">
      <w:pPr>
        <w:pStyle w:val="Paragrafoelenco"/>
        <w:numPr>
          <w:ilvl w:val="0"/>
          <w:numId w:val="9"/>
        </w:numPr>
        <w:tabs>
          <w:tab w:val="left" w:pos="7371"/>
          <w:tab w:val="right" w:pos="8080"/>
        </w:tabs>
        <w:rPr>
          <w:rFonts w:cs="Tahoma"/>
          <w:szCs w:val="20"/>
        </w:rPr>
      </w:pPr>
      <w:r w:rsidRPr="00305AEB">
        <w:rPr>
          <w:rFonts w:cs="Tahoma"/>
          <w:szCs w:val="20"/>
        </w:rPr>
        <w:t>accordo fra gli Stati (criterio residuale).</w:t>
      </w:r>
    </w:p>
    <w:p w14:paraId="764EA06C" w14:textId="77777777" w:rsidR="008D15F0" w:rsidRPr="00305AEB" w:rsidRDefault="008D15F0" w:rsidP="00186726">
      <w:pPr>
        <w:tabs>
          <w:tab w:val="left" w:pos="7371"/>
          <w:tab w:val="right" w:pos="8080"/>
        </w:tabs>
        <w:rPr>
          <w:rFonts w:cs="Tahoma"/>
          <w:szCs w:val="20"/>
        </w:rPr>
      </w:pPr>
      <w:r w:rsidRPr="00305AEB">
        <w:rPr>
          <w:rFonts w:cs="Tahoma"/>
          <w:szCs w:val="20"/>
        </w:rPr>
        <w:t>Le Convenzioni contro le doppie imposizioni configurano fonti vincolanti per gli Stati contraenti, aventi efficacia di legge primaria (dopo la ratifica) e prevalgono sulle fonti interne (art. 75 del TUIR e art. 117 Cost.) in quanto norme speciali.</w:t>
      </w:r>
    </w:p>
    <w:p w14:paraId="416D3C41" w14:textId="77777777" w:rsidR="0069364A" w:rsidRPr="00305AEB" w:rsidRDefault="0069364A" w:rsidP="00186726">
      <w:pPr>
        <w:tabs>
          <w:tab w:val="left" w:pos="7371"/>
          <w:tab w:val="right" w:pos="8080"/>
        </w:tabs>
        <w:rPr>
          <w:rFonts w:cs="Tahoma"/>
          <w:szCs w:val="20"/>
        </w:rPr>
      </w:pPr>
    </w:p>
    <w:p w14:paraId="16AD6E8B" w14:textId="77777777" w:rsidR="008D15F0" w:rsidRPr="00305AEB" w:rsidRDefault="008D15F0" w:rsidP="00186726">
      <w:pPr>
        <w:pStyle w:val="Sottotitolo"/>
        <w:rPr>
          <w:rFonts w:cs="Tahoma"/>
          <w:spacing w:val="0"/>
        </w:rPr>
      </w:pPr>
      <w:bookmarkStart w:id="26" w:name="_Toc161933122"/>
      <w:r w:rsidRPr="008201A2">
        <w:rPr>
          <w:rFonts w:cs="Tahoma"/>
          <w:spacing w:val="0"/>
        </w:rPr>
        <w:t>1.</w:t>
      </w:r>
      <w:r w:rsidR="0069364A" w:rsidRPr="008201A2">
        <w:rPr>
          <w:rFonts w:cs="Tahoma"/>
          <w:spacing w:val="0"/>
        </w:rPr>
        <w:t>5</w:t>
      </w:r>
      <w:r w:rsidRPr="008201A2">
        <w:rPr>
          <w:rFonts w:cs="Tahoma"/>
          <w:spacing w:val="0"/>
        </w:rPr>
        <w:t xml:space="preserve"> La tassazione dei soggetti residenti per i redditi prodotti all’estero</w:t>
      </w:r>
      <w:bookmarkEnd w:id="26"/>
    </w:p>
    <w:p w14:paraId="167697AD" w14:textId="77777777" w:rsidR="008D15F0" w:rsidRPr="00305AEB" w:rsidRDefault="008D15F0" w:rsidP="00BD0AC3">
      <w:pPr>
        <w:pBdr>
          <w:top w:val="dashSmallGap" w:sz="4" w:space="1" w:color="4F81BD" w:themeColor="accent1"/>
          <w:left w:val="dashSmallGap" w:sz="4" w:space="4" w:color="4F81BD" w:themeColor="accent1"/>
          <w:bottom w:val="dashSmallGap" w:sz="4" w:space="1" w:color="4F81BD" w:themeColor="accent1"/>
          <w:right w:val="dashSmallGap" w:sz="4" w:space="4" w:color="4F81BD" w:themeColor="accent1"/>
        </w:pBdr>
        <w:tabs>
          <w:tab w:val="left" w:pos="7371"/>
          <w:tab w:val="right" w:pos="8080"/>
        </w:tabs>
        <w:rPr>
          <w:rFonts w:cs="Tahoma"/>
          <w:szCs w:val="20"/>
        </w:rPr>
      </w:pPr>
      <w:r w:rsidRPr="00305AEB">
        <w:rPr>
          <w:rFonts w:cs="Tahoma"/>
          <w:szCs w:val="20"/>
        </w:rPr>
        <w:t xml:space="preserve">La prima e più importante conseguenza dell’essere definiti “residenti” in uno Stato è, generalmente, l’essere </w:t>
      </w:r>
      <w:r w:rsidRPr="00305AEB">
        <w:rPr>
          <w:rFonts w:cs="Tahoma"/>
          <w:b/>
          <w:bCs/>
          <w:szCs w:val="20"/>
        </w:rPr>
        <w:t>tassato su base mondiale</w:t>
      </w:r>
      <w:r w:rsidRPr="00305AEB">
        <w:rPr>
          <w:rFonts w:cs="Tahoma"/>
          <w:szCs w:val="20"/>
        </w:rPr>
        <w:t>. Infatti, l’art. 3 del TUIR dispone quanto segue:</w:t>
      </w:r>
    </w:p>
    <w:tbl>
      <w:tblPr>
        <w:tblStyle w:val="Grigliatabella"/>
        <w:tblW w:w="0" w:type="auto"/>
        <w:shd w:val="clear" w:color="auto" w:fill="DBE5F1" w:themeFill="accent1" w:themeFillTint="33"/>
        <w:tblLook w:val="04A0" w:firstRow="1" w:lastRow="0" w:firstColumn="1" w:lastColumn="0" w:noHBand="0" w:noVBand="1"/>
      </w:tblPr>
      <w:tblGrid>
        <w:gridCol w:w="9202"/>
      </w:tblGrid>
      <w:tr w:rsidR="008D15F0" w:rsidRPr="00305AEB" w14:paraId="5F60F75D" w14:textId="77777777" w:rsidTr="00E0466A">
        <w:tc>
          <w:tcPr>
            <w:tcW w:w="9352" w:type="dxa"/>
            <w:shd w:val="clear" w:color="auto" w:fill="DBE5F1" w:themeFill="accent1" w:themeFillTint="33"/>
          </w:tcPr>
          <w:p w14:paraId="5EA57EC5" w14:textId="77777777" w:rsidR="008D15F0" w:rsidRPr="00305AEB" w:rsidRDefault="008D15F0" w:rsidP="001659E5">
            <w:pPr>
              <w:tabs>
                <w:tab w:val="left" w:pos="7371"/>
                <w:tab w:val="right" w:pos="8080"/>
              </w:tabs>
              <w:spacing w:before="60" w:after="60" w:line="326" w:lineRule="auto"/>
              <w:jc w:val="center"/>
              <w:rPr>
                <w:rFonts w:cs="Tahoma"/>
                <w:b/>
                <w:i/>
                <w:iCs/>
                <w:szCs w:val="20"/>
                <w:u w:val="single"/>
              </w:rPr>
            </w:pPr>
            <w:r w:rsidRPr="00305AEB">
              <w:rPr>
                <w:rFonts w:cs="Tahoma"/>
                <w:b/>
                <w:i/>
                <w:iCs/>
                <w:szCs w:val="20"/>
                <w:u w:val="single"/>
              </w:rPr>
              <w:t>Art. 3 – Base imponibile</w:t>
            </w:r>
          </w:p>
          <w:p w14:paraId="0DFD2AE1" w14:textId="77777777" w:rsidR="008D15F0" w:rsidRPr="00305AEB" w:rsidRDefault="008D15F0" w:rsidP="001659E5">
            <w:pPr>
              <w:tabs>
                <w:tab w:val="left" w:pos="7371"/>
                <w:tab w:val="right" w:pos="8080"/>
              </w:tabs>
              <w:spacing w:before="60" w:after="60" w:line="326" w:lineRule="auto"/>
              <w:rPr>
                <w:rFonts w:cs="Tahoma"/>
                <w:szCs w:val="20"/>
              </w:rPr>
            </w:pPr>
            <w:r w:rsidRPr="00305AEB">
              <w:rPr>
                <w:rFonts w:cs="Tahoma"/>
                <w:i/>
                <w:iCs/>
                <w:szCs w:val="20"/>
              </w:rPr>
              <w:t>“</w:t>
            </w:r>
            <w:r w:rsidRPr="00305AEB">
              <w:rPr>
                <w:rFonts w:cs="Tahoma"/>
                <w:b/>
                <w:bCs/>
                <w:i/>
                <w:iCs/>
                <w:szCs w:val="20"/>
              </w:rPr>
              <w:t xml:space="preserve">L'imposta si applica sul reddito complessivo del soggetto, formato per i residenti da tutti i redditi posseduti al netto degli oneri deducibili indicati nell'articolo 10 [...]e per i non residenti soltanto da quelli prodotti nel territorio dello Stato. </w:t>
            </w:r>
          </w:p>
          <w:p w14:paraId="4462AF03" w14:textId="77777777" w:rsidR="008D15F0" w:rsidRPr="00305AEB" w:rsidRDefault="008D15F0" w:rsidP="001659E5">
            <w:pPr>
              <w:tabs>
                <w:tab w:val="left" w:pos="7371"/>
                <w:tab w:val="right" w:pos="8080"/>
              </w:tabs>
              <w:spacing w:before="60" w:after="60" w:line="326" w:lineRule="auto"/>
              <w:rPr>
                <w:rFonts w:cs="Tahoma"/>
                <w:szCs w:val="20"/>
              </w:rPr>
            </w:pPr>
            <w:r w:rsidRPr="00305AEB">
              <w:rPr>
                <w:rFonts w:cs="Tahoma"/>
                <w:i/>
                <w:iCs/>
                <w:szCs w:val="20"/>
              </w:rPr>
              <w:t>In deroga al comma 1 l'imposta si applica separatamente sui redditi elencati nell'articolo 16, salvo quanto stabilito nei commi 2 e 3 dello stesso articolo.</w:t>
            </w:r>
          </w:p>
          <w:p w14:paraId="18E0E58D" w14:textId="77777777" w:rsidR="008D15F0" w:rsidRPr="00305AEB" w:rsidRDefault="008D15F0" w:rsidP="001659E5">
            <w:pPr>
              <w:tabs>
                <w:tab w:val="left" w:pos="7371"/>
                <w:tab w:val="right" w:pos="8080"/>
              </w:tabs>
              <w:spacing w:before="60" w:after="60" w:line="326" w:lineRule="auto"/>
              <w:rPr>
                <w:rFonts w:cs="Tahoma"/>
                <w:szCs w:val="20"/>
              </w:rPr>
            </w:pPr>
            <w:r w:rsidRPr="00305AEB">
              <w:rPr>
                <w:rFonts w:cs="Tahoma"/>
                <w:i/>
                <w:iCs/>
                <w:szCs w:val="20"/>
              </w:rPr>
              <w:t>Sono in ogni caso esclusi dalla base imponibile:</w:t>
            </w:r>
          </w:p>
          <w:p w14:paraId="06D31570" w14:textId="77777777" w:rsidR="008D15F0" w:rsidRPr="00305AEB" w:rsidRDefault="008D15F0" w:rsidP="001659E5">
            <w:pPr>
              <w:tabs>
                <w:tab w:val="left" w:pos="7371"/>
                <w:tab w:val="right" w:pos="8080"/>
              </w:tabs>
              <w:spacing w:before="60" w:after="60" w:line="326" w:lineRule="auto"/>
              <w:rPr>
                <w:rFonts w:cs="Tahoma"/>
                <w:szCs w:val="20"/>
              </w:rPr>
            </w:pPr>
            <w:r w:rsidRPr="00305AEB">
              <w:rPr>
                <w:rFonts w:cs="Tahoma"/>
                <w:i/>
                <w:iCs/>
                <w:szCs w:val="20"/>
              </w:rPr>
              <w:t>a) i redditi esenti dall'imposta e quelli soggetti a ritenuta alla fonte a titolo d'imposta o ad imposta sostitutiva;</w:t>
            </w:r>
          </w:p>
          <w:p w14:paraId="6AEA1A8A" w14:textId="77777777" w:rsidR="008D15F0" w:rsidRPr="00305AEB" w:rsidRDefault="008D15F0" w:rsidP="001659E5">
            <w:pPr>
              <w:tabs>
                <w:tab w:val="left" w:pos="7371"/>
                <w:tab w:val="right" w:pos="8080"/>
              </w:tabs>
              <w:spacing w:before="60" w:after="60" w:line="326" w:lineRule="auto"/>
              <w:rPr>
                <w:rFonts w:cs="Tahoma"/>
                <w:szCs w:val="20"/>
              </w:rPr>
            </w:pPr>
            <w:r w:rsidRPr="00305AEB">
              <w:rPr>
                <w:rFonts w:cs="Tahoma"/>
                <w:i/>
                <w:iCs/>
                <w:szCs w:val="20"/>
              </w:rPr>
              <w:t>b) gli assegni periodici destinati al mantenimento dei figli spettanti al coniuge in conseguenza di separazione legale ed effettiva o di annullamento, scioglimento o cessazione degli effetti civili del matrimonio, nella misura in cui risultano da provvedimenti dell'autorità giudiziaria;</w:t>
            </w:r>
          </w:p>
          <w:p w14:paraId="32090A75" w14:textId="77777777" w:rsidR="008D15F0" w:rsidRPr="00305AEB" w:rsidRDefault="008D15F0" w:rsidP="001659E5">
            <w:pPr>
              <w:tabs>
                <w:tab w:val="left" w:pos="7371"/>
                <w:tab w:val="right" w:pos="8080"/>
              </w:tabs>
              <w:spacing w:before="60" w:after="60" w:line="326" w:lineRule="auto"/>
              <w:rPr>
                <w:rFonts w:cs="Tahoma"/>
                <w:szCs w:val="20"/>
              </w:rPr>
            </w:pPr>
            <w:r w:rsidRPr="00305AEB">
              <w:rPr>
                <w:rFonts w:cs="Tahoma"/>
                <w:i/>
                <w:iCs/>
                <w:szCs w:val="20"/>
              </w:rPr>
              <w:t xml:space="preserve">c) [...] </w:t>
            </w:r>
          </w:p>
          <w:p w14:paraId="1FE2FAC1" w14:textId="77777777" w:rsidR="008D15F0" w:rsidRPr="00305AEB" w:rsidRDefault="008D15F0" w:rsidP="001659E5">
            <w:pPr>
              <w:tabs>
                <w:tab w:val="left" w:pos="7371"/>
                <w:tab w:val="right" w:pos="8080"/>
              </w:tabs>
              <w:spacing w:before="60" w:after="60" w:line="326" w:lineRule="auto"/>
              <w:rPr>
                <w:rFonts w:cs="Tahoma"/>
                <w:szCs w:val="20"/>
              </w:rPr>
            </w:pPr>
            <w:r w:rsidRPr="00305AEB">
              <w:rPr>
                <w:rFonts w:cs="Tahoma"/>
                <w:i/>
                <w:iCs/>
                <w:szCs w:val="20"/>
              </w:rPr>
              <w:t>d) gli assegni familiari e l'assegno per il nucleo familiare, nonché, con gli stessi limiti e alle medesime condizioni, gli emolumenti per carichi di famiglia comunque denominati, erogati nei casi consentiti dalla legge;</w:t>
            </w:r>
          </w:p>
          <w:p w14:paraId="61BA8631" w14:textId="77777777" w:rsidR="008D15F0" w:rsidRPr="00305AEB" w:rsidRDefault="008D15F0" w:rsidP="001659E5">
            <w:pPr>
              <w:tabs>
                <w:tab w:val="left" w:pos="7371"/>
                <w:tab w:val="right" w:pos="8080"/>
              </w:tabs>
              <w:spacing w:before="60" w:after="60" w:line="326" w:lineRule="auto"/>
              <w:rPr>
                <w:rFonts w:cs="Tahoma"/>
                <w:szCs w:val="20"/>
              </w:rPr>
            </w:pPr>
            <w:r w:rsidRPr="00305AEB">
              <w:rPr>
                <w:rFonts w:cs="Tahoma"/>
                <w:i/>
                <w:iCs/>
                <w:szCs w:val="20"/>
              </w:rPr>
              <w:lastRenderedPageBreak/>
              <w:t>d-bis) la maggiorazione sociale dei trattamenti pensionistici prevista dall'articolo 1 della legge 29 dicembre 1988, n. 544;</w:t>
            </w:r>
          </w:p>
          <w:p w14:paraId="4BBAFBF6" w14:textId="77777777" w:rsidR="008D15F0" w:rsidRPr="00305AEB" w:rsidRDefault="008D15F0" w:rsidP="001659E5">
            <w:pPr>
              <w:tabs>
                <w:tab w:val="left" w:pos="7371"/>
                <w:tab w:val="right" w:pos="8080"/>
              </w:tabs>
              <w:spacing w:before="60" w:after="60" w:line="326" w:lineRule="auto"/>
              <w:rPr>
                <w:rFonts w:cs="Tahoma"/>
                <w:szCs w:val="20"/>
              </w:rPr>
            </w:pPr>
            <w:r w:rsidRPr="00305AEB">
              <w:rPr>
                <w:rFonts w:cs="Tahoma"/>
                <w:i/>
                <w:iCs/>
                <w:szCs w:val="20"/>
              </w:rPr>
              <w:t>d-ter) le somme corrisposte a titolo di borsa di studio dal Governo italiano a cittadini stranieri in forza di accordi e intese internazionali.”</w:t>
            </w:r>
          </w:p>
        </w:tc>
      </w:tr>
    </w:tbl>
    <w:p w14:paraId="25FE9350" w14:textId="77777777" w:rsidR="008D15F0" w:rsidRPr="00305AEB" w:rsidRDefault="008D15F0" w:rsidP="00186726">
      <w:pPr>
        <w:tabs>
          <w:tab w:val="left" w:pos="7371"/>
          <w:tab w:val="right" w:pos="8080"/>
        </w:tabs>
        <w:rPr>
          <w:rFonts w:cs="Tahoma"/>
          <w:szCs w:val="20"/>
        </w:rPr>
      </w:pPr>
    </w:p>
    <w:p w14:paraId="32662673" w14:textId="77777777" w:rsidR="008D15F0" w:rsidRPr="00305AEB" w:rsidRDefault="008D15F0" w:rsidP="00186726">
      <w:pPr>
        <w:tabs>
          <w:tab w:val="left" w:pos="7371"/>
          <w:tab w:val="right" w:pos="8080"/>
        </w:tabs>
        <w:rPr>
          <w:rFonts w:cs="Tahoma"/>
          <w:szCs w:val="20"/>
        </w:rPr>
      </w:pPr>
      <w:r w:rsidRPr="00305AEB">
        <w:rPr>
          <w:rFonts w:cs="Tahoma"/>
          <w:szCs w:val="20"/>
        </w:rPr>
        <w:t>Cosa significa essere tassato su base mondiale? Significa che la persona fisica sarà tassata su tutti i redditi che ha prodotto in tutte le parti del mondo. Quindi, se un contribuente è residente in Italia ed ha prodotto redditi in Spagna, Francia, Svizzera e altri Paesi, dovrà dichiararli tutti in Italia ed assolvere le imposte nel nostro Paese.</w:t>
      </w:r>
    </w:p>
    <w:p w14:paraId="13DDE112" w14:textId="77777777" w:rsidR="008D15F0" w:rsidRPr="00305AEB" w:rsidRDefault="008D15F0" w:rsidP="00186726">
      <w:pPr>
        <w:tabs>
          <w:tab w:val="left" w:pos="7371"/>
          <w:tab w:val="right" w:pos="8080"/>
        </w:tabs>
        <w:rPr>
          <w:rFonts w:cs="Tahoma"/>
          <w:szCs w:val="20"/>
        </w:rPr>
      </w:pPr>
      <w:r w:rsidRPr="00305AEB">
        <w:rPr>
          <w:rFonts w:cs="Tahoma"/>
          <w:szCs w:val="20"/>
        </w:rPr>
        <w:t xml:space="preserve">Quanto appena detto non significa che lui deve pagare le imposte soltanto qui in Italia, perché in base alle legislazioni estere potrebbe dover pagare le imposte anche negli altri Paesi. </w:t>
      </w:r>
    </w:p>
    <w:p w14:paraId="42103A78" w14:textId="77777777" w:rsidR="008D15F0" w:rsidRPr="00305AEB" w:rsidRDefault="008D15F0" w:rsidP="00186726">
      <w:pPr>
        <w:tabs>
          <w:tab w:val="left" w:pos="7371"/>
          <w:tab w:val="right" w:pos="8080"/>
        </w:tabs>
        <w:rPr>
          <w:rFonts w:cs="Tahoma"/>
          <w:szCs w:val="20"/>
        </w:rPr>
      </w:pPr>
      <w:r w:rsidRPr="00305AEB">
        <w:rPr>
          <w:rFonts w:cs="Tahoma"/>
          <w:szCs w:val="20"/>
        </w:rPr>
        <w:t xml:space="preserve">Ciò che comporta la residenza è </w:t>
      </w:r>
      <w:proofErr w:type="gramStart"/>
      <w:r w:rsidRPr="00305AEB">
        <w:rPr>
          <w:rFonts w:cs="Tahoma"/>
          <w:szCs w:val="20"/>
        </w:rPr>
        <w:t>che</w:t>
      </w:r>
      <w:proofErr w:type="gramEnd"/>
      <w:r w:rsidRPr="00305AEB">
        <w:rPr>
          <w:rFonts w:cs="Tahoma"/>
          <w:szCs w:val="20"/>
        </w:rPr>
        <w:t xml:space="preserve"> se il contribuente ha pagato imposte negli altri Paesi possa portarle in detrazione (secondo determinate regole che vedremo più avanti) nella propria dichiarazione dei redditi italiana. </w:t>
      </w:r>
    </w:p>
    <w:p w14:paraId="039FD9A6" w14:textId="77777777" w:rsidR="008D15F0" w:rsidRPr="00305AEB" w:rsidRDefault="008D15F0" w:rsidP="00186726">
      <w:pPr>
        <w:tabs>
          <w:tab w:val="left" w:pos="7371"/>
          <w:tab w:val="right" w:pos="8080"/>
        </w:tabs>
        <w:rPr>
          <w:rFonts w:cs="Tahoma"/>
          <w:szCs w:val="20"/>
        </w:rPr>
      </w:pPr>
      <w:r w:rsidRPr="00305AEB">
        <w:rPr>
          <w:rFonts w:cs="Tahoma"/>
          <w:szCs w:val="20"/>
        </w:rPr>
        <w:t>Si tenga presente che, in linea di massima, la modalità di determinazione dei redditi prodotti all’estero è analoga a quella applicabile per i redditi prodotti in Italia. Quindi, se il contribuente è una persona fisica, si dovranno applicare le disposizioni di cui al Titolo I del TUIR.</w:t>
      </w:r>
    </w:p>
    <w:p w14:paraId="266D76CB" w14:textId="77777777" w:rsidR="008D15F0" w:rsidRPr="00305AEB" w:rsidRDefault="008D15F0" w:rsidP="00186726">
      <w:pPr>
        <w:tabs>
          <w:tab w:val="left" w:pos="7371"/>
          <w:tab w:val="right" w:pos="8080"/>
        </w:tabs>
        <w:rPr>
          <w:rFonts w:cs="Tahoma"/>
          <w:szCs w:val="20"/>
        </w:rPr>
      </w:pPr>
      <w:r w:rsidRPr="00305AEB">
        <w:rPr>
          <w:rFonts w:cs="Tahoma"/>
          <w:szCs w:val="20"/>
        </w:rPr>
        <w:t xml:space="preserve">Esistono però alcune norme particolari all’interno dell’ordinamento che riguardano soltanto i redditi esteri (es. </w:t>
      </w:r>
      <w:r w:rsidRPr="00305AEB">
        <w:rPr>
          <w:rFonts w:cs="Tahoma"/>
          <w:b/>
          <w:bCs/>
          <w:szCs w:val="20"/>
        </w:rPr>
        <w:t>art. 70, comma 2 del TUIR</w:t>
      </w:r>
      <w:r w:rsidRPr="00305AEB">
        <w:rPr>
          <w:rFonts w:cs="Tahoma"/>
          <w:szCs w:val="20"/>
        </w:rPr>
        <w:t>: riguarda i criteri per determinare il reddito derivante da immobili situati all’estero).</w:t>
      </w:r>
    </w:p>
    <w:p w14:paraId="3175101D" w14:textId="65C1965D" w:rsidR="004F533C" w:rsidRPr="00305AEB" w:rsidRDefault="004F533C" w:rsidP="00186726">
      <w:pPr>
        <w:rPr>
          <w:rFonts w:cs="Tahoma"/>
          <w:b/>
          <w:iCs/>
          <w:color w:val="404040"/>
          <w:u w:val="single"/>
        </w:rPr>
      </w:pPr>
    </w:p>
    <w:p w14:paraId="6ABED375" w14:textId="6E092E4E" w:rsidR="008D15F0" w:rsidRPr="00305AEB" w:rsidRDefault="008D15F0" w:rsidP="00186726">
      <w:pPr>
        <w:pStyle w:val="Sottotitolo"/>
        <w:rPr>
          <w:rFonts w:cs="Tahoma"/>
          <w:spacing w:val="0"/>
        </w:rPr>
      </w:pPr>
      <w:bookmarkStart w:id="27" w:name="_Toc161933123"/>
      <w:r w:rsidRPr="008F0A9F">
        <w:rPr>
          <w:rFonts w:cs="Tahoma"/>
          <w:spacing w:val="0"/>
        </w:rPr>
        <w:t>1.</w:t>
      </w:r>
      <w:r w:rsidR="0069364A" w:rsidRPr="008F0A9F">
        <w:rPr>
          <w:rFonts w:cs="Tahoma"/>
          <w:spacing w:val="0"/>
        </w:rPr>
        <w:t>6</w:t>
      </w:r>
      <w:r w:rsidRPr="008F0A9F">
        <w:rPr>
          <w:rFonts w:cs="Tahoma"/>
          <w:spacing w:val="0"/>
        </w:rPr>
        <w:t xml:space="preserve"> La doppia imposizione</w:t>
      </w:r>
      <w:bookmarkEnd w:id="27"/>
    </w:p>
    <w:p w14:paraId="35C31D6D" w14:textId="77777777" w:rsidR="008D15F0" w:rsidRPr="00305AEB" w:rsidRDefault="008D15F0" w:rsidP="00186726">
      <w:pPr>
        <w:tabs>
          <w:tab w:val="left" w:pos="7371"/>
          <w:tab w:val="right" w:pos="8080"/>
        </w:tabs>
        <w:rPr>
          <w:rFonts w:cs="Tahoma"/>
          <w:szCs w:val="20"/>
        </w:rPr>
      </w:pPr>
      <w:r w:rsidRPr="00305AEB">
        <w:rPr>
          <w:rFonts w:cs="Tahoma"/>
          <w:szCs w:val="20"/>
        </w:rPr>
        <w:t>La doppia imposizione è un fenomeno comune in ambito internazionale. A livello mondiale esiste, infatti, un principio comunemente accettato secondo cui:</w:t>
      </w:r>
    </w:p>
    <w:p w14:paraId="194CA3FC" w14:textId="77777777" w:rsidR="008D15F0" w:rsidRPr="00305AEB" w:rsidRDefault="008D15F0" w:rsidP="00186726">
      <w:pPr>
        <w:pStyle w:val="Paragrafoelenco"/>
        <w:numPr>
          <w:ilvl w:val="0"/>
          <w:numId w:val="11"/>
        </w:numPr>
        <w:tabs>
          <w:tab w:val="left" w:pos="7371"/>
          <w:tab w:val="right" w:pos="8080"/>
        </w:tabs>
        <w:rPr>
          <w:rFonts w:cs="Tahoma"/>
          <w:szCs w:val="20"/>
        </w:rPr>
      </w:pPr>
      <w:r w:rsidRPr="00305AEB">
        <w:rPr>
          <w:rFonts w:cs="Tahoma"/>
          <w:szCs w:val="20"/>
        </w:rPr>
        <w:t>un determinato soggetto (persona fisica o giuridica) è assoggettato ad imposta nello Stato in cui ha la residenza fiscale per i redditi ovunque prodotti (nello Stato di residenza medesimo, così come all'estero);</w:t>
      </w:r>
    </w:p>
    <w:p w14:paraId="2C3BB5AB" w14:textId="77777777" w:rsidR="008D15F0" w:rsidRPr="00305AEB" w:rsidRDefault="008D15F0" w:rsidP="00186726">
      <w:pPr>
        <w:pStyle w:val="Paragrafoelenco"/>
        <w:numPr>
          <w:ilvl w:val="0"/>
          <w:numId w:val="11"/>
        </w:numPr>
        <w:tabs>
          <w:tab w:val="left" w:pos="7371"/>
          <w:tab w:val="right" w:pos="8080"/>
        </w:tabs>
        <w:rPr>
          <w:rFonts w:cs="Tahoma"/>
          <w:szCs w:val="20"/>
        </w:rPr>
      </w:pPr>
      <w:r w:rsidRPr="00305AEB">
        <w:rPr>
          <w:rFonts w:cs="Tahoma"/>
          <w:szCs w:val="20"/>
        </w:rPr>
        <w:t>lo stesso soggetto è assoggettato ad imposta anche nello Stato in cui ha prodotto il reddito, se la legislazione di tale Stato prevede la tassazione dei non residenti su quel determinato reddito.</w:t>
      </w:r>
    </w:p>
    <w:p w14:paraId="09B520AA" w14:textId="77777777" w:rsidR="008D15F0" w:rsidRPr="00305AEB" w:rsidRDefault="008D15F0" w:rsidP="00186726">
      <w:pPr>
        <w:tabs>
          <w:tab w:val="left" w:pos="7371"/>
          <w:tab w:val="right" w:pos="8080"/>
        </w:tabs>
        <w:rPr>
          <w:rFonts w:cs="Tahoma"/>
          <w:szCs w:val="20"/>
        </w:rPr>
      </w:pPr>
      <w:r w:rsidRPr="00305AEB">
        <w:rPr>
          <w:rFonts w:cs="Tahoma"/>
          <w:szCs w:val="20"/>
        </w:rPr>
        <w:t xml:space="preserve">Per esempio, un soggetto residente in Italia è tenuto ad assolvere l’imposta sulle locazioni che percepisce da un immobile tedesco sia in Italia (Stato di residenza) che in Germania (Stato della fonte). </w:t>
      </w:r>
    </w:p>
    <w:p w14:paraId="04B2CE70" w14:textId="77777777" w:rsidR="008D15F0" w:rsidRPr="00305AEB" w:rsidRDefault="008D15F0" w:rsidP="00186726">
      <w:pPr>
        <w:tabs>
          <w:tab w:val="left" w:pos="7371"/>
          <w:tab w:val="right" w:pos="8080"/>
        </w:tabs>
        <w:rPr>
          <w:rFonts w:cs="Tahoma"/>
          <w:szCs w:val="20"/>
        </w:rPr>
      </w:pPr>
      <w:r w:rsidRPr="00305AEB">
        <w:rPr>
          <w:rFonts w:cs="Tahoma"/>
          <w:szCs w:val="20"/>
        </w:rPr>
        <w:lastRenderedPageBreak/>
        <w:t>La doppia imposizione è attenuata nello Stato di residenza (in genere, anche se ciò non è una regola assoluta), che concede la detrazione delle imposte assolte all’estero sul medesimo reddito. Solo in determinati casi (che non rappresentano la regola) esistono meccanismi per cui lo Stato della fonte accorda l’esenzione da imposta in capo ai non residenti (ciò accade in special modo per i redditi di natura finanziaria); in queste situazioni, è il solo Stato di residenza della persona a poter assoggettare a tassazione il reddito, pur se questo è stato prodotto all’estero.</w:t>
      </w:r>
    </w:p>
    <w:p w14:paraId="5AA64666" w14:textId="77777777" w:rsidR="008D15F0" w:rsidRPr="00305AEB" w:rsidRDefault="008D15F0" w:rsidP="00186726">
      <w:pPr>
        <w:tabs>
          <w:tab w:val="left" w:pos="7371"/>
          <w:tab w:val="right" w:pos="8080"/>
        </w:tabs>
        <w:rPr>
          <w:rFonts w:cs="Tahoma"/>
          <w:szCs w:val="20"/>
        </w:rPr>
      </w:pPr>
      <w:r w:rsidRPr="00305AEB">
        <w:rPr>
          <w:rFonts w:cs="Tahoma"/>
          <w:szCs w:val="20"/>
        </w:rPr>
        <w:t>La doppia imposizione è eliminata:</w:t>
      </w:r>
    </w:p>
    <w:p w14:paraId="49443B72" w14:textId="77777777" w:rsidR="00186726" w:rsidRPr="00186726" w:rsidRDefault="008D15F0" w:rsidP="00186726">
      <w:pPr>
        <w:pStyle w:val="Paragrafoelenco"/>
        <w:widowControl w:val="0"/>
        <w:numPr>
          <w:ilvl w:val="0"/>
          <w:numId w:val="68"/>
        </w:numPr>
        <w:tabs>
          <w:tab w:val="left" w:pos="7371"/>
          <w:tab w:val="right" w:pos="8080"/>
        </w:tabs>
        <w:autoSpaceDE w:val="0"/>
        <w:autoSpaceDN w:val="0"/>
        <w:adjustRightInd w:val="0"/>
        <w:ind w:left="709" w:hanging="357"/>
        <w:rPr>
          <w:rFonts w:eastAsiaTheme="minorEastAsia" w:cs="Tahoma"/>
          <w:noProof/>
          <w:color w:val="0E2949"/>
          <w:sz w:val="32"/>
          <w:szCs w:val="32"/>
        </w:rPr>
      </w:pPr>
      <w:r w:rsidRPr="00305AEB">
        <w:rPr>
          <w:rFonts w:cs="Tahoma"/>
          <w:szCs w:val="20"/>
        </w:rPr>
        <w:t xml:space="preserve">talvolta, attraverso norme interne (ad es. l’art. 168-ter del TUIR sulla </w:t>
      </w:r>
      <w:proofErr w:type="spellStart"/>
      <w:r w:rsidRPr="00305AEB">
        <w:rPr>
          <w:rFonts w:cs="Tahoma"/>
          <w:szCs w:val="20"/>
        </w:rPr>
        <w:t>branch</w:t>
      </w:r>
      <w:proofErr w:type="spellEnd"/>
      <w:r w:rsidRPr="00305AEB">
        <w:rPr>
          <w:rFonts w:cs="Tahoma"/>
          <w:szCs w:val="20"/>
        </w:rPr>
        <w:t xml:space="preserve"> </w:t>
      </w:r>
      <w:proofErr w:type="spellStart"/>
      <w:r w:rsidRPr="00305AEB">
        <w:rPr>
          <w:rFonts w:cs="Tahoma"/>
          <w:szCs w:val="20"/>
        </w:rPr>
        <w:t>exemption</w:t>
      </w:r>
      <w:proofErr w:type="spellEnd"/>
      <w:r w:rsidRPr="00305AEB">
        <w:rPr>
          <w:rFonts w:cs="Tahoma"/>
          <w:szCs w:val="20"/>
        </w:rPr>
        <w:t>, che esenta dalle imposte italiane i redditi delle stabili organizzazioni estere);</w:t>
      </w:r>
    </w:p>
    <w:p w14:paraId="4B3B2104" w14:textId="07790868" w:rsidR="008D15F0" w:rsidRPr="00186726" w:rsidRDefault="008D15F0" w:rsidP="00186726">
      <w:pPr>
        <w:pStyle w:val="Paragrafoelenco"/>
        <w:widowControl w:val="0"/>
        <w:numPr>
          <w:ilvl w:val="0"/>
          <w:numId w:val="68"/>
        </w:numPr>
        <w:tabs>
          <w:tab w:val="left" w:pos="7371"/>
          <w:tab w:val="right" w:pos="8080"/>
        </w:tabs>
        <w:autoSpaceDE w:val="0"/>
        <w:autoSpaceDN w:val="0"/>
        <w:adjustRightInd w:val="0"/>
        <w:ind w:left="709" w:hanging="357"/>
        <w:rPr>
          <w:rFonts w:eastAsiaTheme="minorEastAsia" w:cs="Tahoma"/>
          <w:noProof/>
          <w:color w:val="0E2949"/>
          <w:sz w:val="32"/>
          <w:szCs w:val="32"/>
        </w:rPr>
      </w:pPr>
      <w:r w:rsidRPr="00186726">
        <w:rPr>
          <w:rFonts w:cs="Tahoma"/>
          <w:szCs w:val="20"/>
        </w:rPr>
        <w:t>altre volte, attraverso norme interne che recepiscono direttive comunitarie (es. art. 27-bis del D.P.R. 600/73 per i dividendi intracomunitari);</w:t>
      </w:r>
    </w:p>
    <w:p w14:paraId="366E7696" w14:textId="77777777" w:rsidR="008D15F0" w:rsidRPr="00305AEB" w:rsidRDefault="008D15F0" w:rsidP="00186726">
      <w:pPr>
        <w:pStyle w:val="Paragrafoelenco"/>
        <w:widowControl w:val="0"/>
        <w:numPr>
          <w:ilvl w:val="0"/>
          <w:numId w:val="68"/>
        </w:numPr>
        <w:tabs>
          <w:tab w:val="left" w:pos="7371"/>
          <w:tab w:val="right" w:pos="8080"/>
        </w:tabs>
        <w:autoSpaceDE w:val="0"/>
        <w:autoSpaceDN w:val="0"/>
        <w:adjustRightInd w:val="0"/>
        <w:ind w:left="709" w:hanging="357"/>
        <w:rPr>
          <w:rFonts w:eastAsiaTheme="minorEastAsia" w:cs="Tahoma"/>
          <w:noProof/>
          <w:color w:val="0E2949"/>
          <w:sz w:val="32"/>
          <w:szCs w:val="32"/>
        </w:rPr>
      </w:pPr>
      <w:r w:rsidRPr="00305AEB">
        <w:rPr>
          <w:rFonts w:cs="Tahoma"/>
          <w:szCs w:val="20"/>
        </w:rPr>
        <w:t>altre volte ancora, con il ricorso alle Convenzioni internazionali contro le doppie imposizioni, applicabili in deroga alla normativa interna in forza del disposto dell’art. 75 del D.P.R. 600/73.</w:t>
      </w:r>
    </w:p>
    <w:p w14:paraId="46C8340E" w14:textId="77777777" w:rsidR="008D15F0" w:rsidRPr="00305AEB" w:rsidRDefault="008D15F0" w:rsidP="00186726">
      <w:pPr>
        <w:widowControl w:val="0"/>
        <w:autoSpaceDE w:val="0"/>
        <w:autoSpaceDN w:val="0"/>
        <w:adjustRightInd w:val="0"/>
        <w:rPr>
          <w:rFonts w:eastAsiaTheme="minorEastAsia" w:cs="Tahoma"/>
          <w:noProof/>
          <w:color w:val="0E2949"/>
          <w:sz w:val="32"/>
          <w:szCs w:val="32"/>
        </w:rPr>
      </w:pPr>
    </w:p>
    <w:p w14:paraId="0981D594" w14:textId="77777777" w:rsidR="008D15F0" w:rsidRPr="00305AEB" w:rsidRDefault="008D15F0" w:rsidP="00186726">
      <w:pPr>
        <w:pStyle w:val="Sottotitolo"/>
        <w:rPr>
          <w:rFonts w:cs="Tahoma"/>
          <w:spacing w:val="0"/>
        </w:rPr>
      </w:pPr>
      <w:bookmarkStart w:id="28" w:name="_Toc161933124"/>
      <w:r w:rsidRPr="008F0A9F">
        <w:rPr>
          <w:rFonts w:cs="Tahoma"/>
          <w:spacing w:val="0"/>
        </w:rPr>
        <w:t>1.</w:t>
      </w:r>
      <w:r w:rsidR="000D3611" w:rsidRPr="008F0A9F">
        <w:rPr>
          <w:rFonts w:cs="Tahoma"/>
          <w:spacing w:val="0"/>
        </w:rPr>
        <w:t>7</w:t>
      </w:r>
      <w:r w:rsidRPr="008F0A9F">
        <w:rPr>
          <w:rFonts w:cs="Tahoma"/>
          <w:spacing w:val="0"/>
        </w:rPr>
        <w:t xml:space="preserve"> Le Convenzioni internazionali</w:t>
      </w:r>
      <w:bookmarkEnd w:id="28"/>
    </w:p>
    <w:p w14:paraId="54EB5619" w14:textId="77777777" w:rsidR="008D15F0" w:rsidRPr="00305AEB" w:rsidRDefault="008D15F0" w:rsidP="00186726">
      <w:pPr>
        <w:tabs>
          <w:tab w:val="left" w:pos="7371"/>
          <w:tab w:val="right" w:pos="8080"/>
        </w:tabs>
        <w:rPr>
          <w:rFonts w:cs="Tahoma"/>
          <w:szCs w:val="20"/>
        </w:rPr>
      </w:pPr>
      <w:r w:rsidRPr="00305AEB">
        <w:rPr>
          <w:rFonts w:cs="Tahoma"/>
          <w:szCs w:val="20"/>
        </w:rPr>
        <w:t xml:space="preserve">Le convenzioni sono trattati stipulati tra due paesi (per esempio, Italia-Spagna; Italia-Francia e così via) che aiutano a dirimere i conflitti sulla tassazione di un reddito da parte di più Stati. </w:t>
      </w:r>
    </w:p>
    <w:p w14:paraId="6352D3EC" w14:textId="77777777" w:rsidR="008D15F0" w:rsidRPr="00305AEB" w:rsidRDefault="008D15F0" w:rsidP="00186726">
      <w:pPr>
        <w:tabs>
          <w:tab w:val="left" w:pos="7371"/>
          <w:tab w:val="right" w:pos="8080"/>
        </w:tabs>
        <w:rPr>
          <w:rFonts w:cs="Tahoma"/>
          <w:szCs w:val="20"/>
        </w:rPr>
      </w:pPr>
      <w:r w:rsidRPr="00305AEB">
        <w:rPr>
          <w:rFonts w:cs="Tahoma"/>
          <w:szCs w:val="20"/>
        </w:rPr>
        <w:t>Non creano potestà impositiva, ma cercano di attribuire ad uno Stato o ad un altro il potere di tassare un reddito. Può essere che attribuiscano ad entrambi i paesi la possibilità di tassare stabilendo poi che lo stato della residenza deve concedere un credito per le imposte che il contribuente ha pagato nello Stato della fonte.</w:t>
      </w:r>
    </w:p>
    <w:p w14:paraId="7B98F293" w14:textId="77777777" w:rsidR="008D15F0" w:rsidRPr="00305AEB" w:rsidRDefault="008D15F0" w:rsidP="00186726">
      <w:pPr>
        <w:tabs>
          <w:tab w:val="left" w:pos="7371"/>
          <w:tab w:val="right" w:pos="8080"/>
        </w:tabs>
        <w:rPr>
          <w:rFonts w:cs="Tahoma"/>
          <w:szCs w:val="20"/>
        </w:rPr>
      </w:pPr>
      <w:r w:rsidRPr="00305AEB">
        <w:rPr>
          <w:rFonts w:cs="Tahoma"/>
          <w:szCs w:val="20"/>
        </w:rPr>
        <w:t>Le Convenzioni contro le doppie imposizioni stipulate dall'Italia sono in genere redatte secondo lo standard fissato dall'OCSE. In qualità di accordi bilaterali, essi sono prima negoziati tra i due Stati interessati e sottoscritti dai medesimi; tuttavia, ciò non è sufficiente ai fini della validità delle singole Convenzioni, in quanto ciò è condizionato alla ratifica (che in Italia avviene a mezzo di una legge ordinaria) e al successivo scambio degli strumenti di ratifica. </w:t>
      </w:r>
    </w:p>
    <w:p w14:paraId="359EFC8C" w14:textId="77777777" w:rsidR="008D15F0" w:rsidRPr="00305AEB" w:rsidRDefault="008D15F0" w:rsidP="00186726">
      <w:pPr>
        <w:tabs>
          <w:tab w:val="left" w:pos="7371"/>
          <w:tab w:val="right" w:pos="8080"/>
        </w:tabs>
        <w:rPr>
          <w:rFonts w:cs="Tahoma"/>
          <w:szCs w:val="20"/>
        </w:rPr>
      </w:pPr>
      <w:r w:rsidRPr="00305AEB">
        <w:rPr>
          <w:rFonts w:cs="Tahoma"/>
          <w:szCs w:val="20"/>
        </w:rPr>
        <w:t>In via generale, le Convenzioni contro le doppie imposizioni prevedono che una componente di reddito che si origina in uno Stato diverso da quello di residenza del titolare possa essere tassata</w:t>
      </w:r>
      <w:r w:rsidR="0069364A" w:rsidRPr="00305AEB">
        <w:rPr>
          <w:rFonts w:cs="Tahoma"/>
          <w:szCs w:val="20"/>
        </w:rPr>
        <w:t xml:space="preserve"> </w:t>
      </w:r>
      <w:r w:rsidRPr="00305AEB">
        <w:rPr>
          <w:rFonts w:cs="Tahoma"/>
          <w:szCs w:val="20"/>
        </w:rPr>
        <w:t xml:space="preserve">anche nello Stato della fonte. </w:t>
      </w:r>
    </w:p>
    <w:p w14:paraId="2F4B462D" w14:textId="77777777" w:rsidR="008D15F0" w:rsidRPr="00305AEB" w:rsidRDefault="008D15F0" w:rsidP="00186726">
      <w:pPr>
        <w:tabs>
          <w:tab w:val="left" w:pos="7371"/>
          <w:tab w:val="right" w:pos="8080"/>
        </w:tabs>
        <w:rPr>
          <w:rFonts w:cs="Tahoma"/>
          <w:szCs w:val="20"/>
        </w:rPr>
      </w:pPr>
      <w:proofErr w:type="gramStart"/>
      <w:r w:rsidRPr="00305AEB">
        <w:rPr>
          <w:rFonts w:cs="Tahoma"/>
          <w:szCs w:val="20"/>
        </w:rPr>
        <w:lastRenderedPageBreak/>
        <w:t>Per esempio</w:t>
      </w:r>
      <w:proofErr w:type="gramEnd"/>
      <w:r w:rsidRPr="00305AEB">
        <w:rPr>
          <w:rFonts w:cs="Tahoma"/>
          <w:szCs w:val="20"/>
        </w:rPr>
        <w:t xml:space="preserve"> si tratta del caso dei dividendi e degli interessi, per i quali gli artt. 10 e 11 del modello OCSE lasciano intatta la potestà dello Stato della fonte di tassare il reddito in uscita (sebbene con aliquote ridotte), con ciò innescando un fenomeno di potestà impositiva concorrente con lo Stato di residenza. </w:t>
      </w:r>
      <w:r w:rsidRPr="00305AEB">
        <w:rPr>
          <w:rFonts w:cs="Tahoma"/>
          <w:szCs w:val="20"/>
        </w:rPr>
        <w:br/>
        <w:t xml:space="preserve">In altri casi, invece, invece, il modello convenzionale stabilisce che il reddito sia imponibile soltanto nello Stato di residenza del titolare. </w:t>
      </w:r>
    </w:p>
    <w:p w14:paraId="75CFF27A" w14:textId="77777777" w:rsidR="008D15F0" w:rsidRPr="00305AEB" w:rsidRDefault="008D15F0" w:rsidP="00186726">
      <w:pPr>
        <w:tabs>
          <w:tab w:val="left" w:pos="7371"/>
          <w:tab w:val="right" w:pos="8080"/>
        </w:tabs>
        <w:rPr>
          <w:rFonts w:cs="Tahoma"/>
          <w:szCs w:val="20"/>
        </w:rPr>
      </w:pPr>
      <w:proofErr w:type="gramStart"/>
      <w:r w:rsidRPr="00305AEB">
        <w:rPr>
          <w:rFonts w:cs="Tahoma"/>
          <w:szCs w:val="20"/>
        </w:rPr>
        <w:t>Per esempio</w:t>
      </w:r>
      <w:proofErr w:type="gramEnd"/>
      <w:r w:rsidRPr="00305AEB">
        <w:rPr>
          <w:rFonts w:cs="Tahoma"/>
          <w:szCs w:val="20"/>
        </w:rPr>
        <w:t xml:space="preserve"> si tratta del caso delle plusvalenze su partecipazioni (fatte salve le eccezioni previste dallo stesso art. 13 del modello OCSE e dal relativo Commentario), imponibili nel solo Stato di residenza del cedente. In questi casi, la doppia imposizione viene eliminata alla radice dal Trattato.</w:t>
      </w:r>
    </w:p>
    <w:p w14:paraId="4596331F" w14:textId="77777777" w:rsidR="008D15F0" w:rsidRPr="00305AEB" w:rsidRDefault="008D15F0" w:rsidP="00186726">
      <w:pPr>
        <w:tabs>
          <w:tab w:val="left" w:pos="7371"/>
          <w:tab w:val="right" w:pos="8080"/>
        </w:tabs>
        <w:rPr>
          <w:rFonts w:cs="Tahoma"/>
          <w:szCs w:val="20"/>
        </w:rPr>
      </w:pPr>
      <w:r w:rsidRPr="00305AEB">
        <w:rPr>
          <w:rFonts w:cs="Tahoma"/>
          <w:szCs w:val="20"/>
        </w:rPr>
        <w:t>È, quindi, compito dell'interprete valutare con attenzione le singole clausole della Convenzione, al fine di accertare correttamente se esiste un fenomeno di doppia imposizione (normalmente attenuato dallo stesso Trattato) da risolvere, oppure se esso sia stato eliminato.</w:t>
      </w:r>
    </w:p>
    <w:p w14:paraId="2E340F65" w14:textId="77777777" w:rsidR="008D15F0" w:rsidRPr="00305AEB" w:rsidRDefault="008D15F0" w:rsidP="00186726">
      <w:pPr>
        <w:tabs>
          <w:tab w:val="left" w:pos="7371"/>
          <w:tab w:val="right" w:pos="8080"/>
        </w:tabs>
        <w:rPr>
          <w:rFonts w:cs="Tahoma"/>
          <w:szCs w:val="20"/>
        </w:rPr>
      </w:pPr>
      <w:r w:rsidRPr="00305AEB">
        <w:rPr>
          <w:rFonts w:cs="Tahoma"/>
          <w:szCs w:val="20"/>
        </w:rPr>
        <w:t>L'art. 23 del modello OCSE di Convenzione internazionale prevede due metodologie alternative per la risoluzione delle problematiche di doppia imposizione internazionale:</w:t>
      </w:r>
    </w:p>
    <w:p w14:paraId="1E3F5515" w14:textId="77777777" w:rsidR="008D15F0" w:rsidRPr="00305AEB" w:rsidRDefault="008D15F0" w:rsidP="00186726">
      <w:pPr>
        <w:pStyle w:val="Paragrafoelenco"/>
        <w:numPr>
          <w:ilvl w:val="0"/>
          <w:numId w:val="13"/>
        </w:numPr>
        <w:tabs>
          <w:tab w:val="left" w:pos="7371"/>
          <w:tab w:val="right" w:pos="8080"/>
        </w:tabs>
        <w:rPr>
          <w:rFonts w:cs="Tahoma"/>
          <w:szCs w:val="20"/>
        </w:rPr>
      </w:pPr>
      <w:r w:rsidRPr="00305AEB">
        <w:rPr>
          <w:rFonts w:cs="Tahoma"/>
          <w:szCs w:val="20"/>
        </w:rPr>
        <w:t>il metodo dell'esenzione (art. 23 A);</w:t>
      </w:r>
    </w:p>
    <w:p w14:paraId="7EAFD3BA" w14:textId="77777777" w:rsidR="008D15F0" w:rsidRPr="00305AEB" w:rsidRDefault="008D15F0" w:rsidP="00186726">
      <w:pPr>
        <w:pStyle w:val="Paragrafoelenco"/>
        <w:numPr>
          <w:ilvl w:val="0"/>
          <w:numId w:val="13"/>
        </w:numPr>
        <w:tabs>
          <w:tab w:val="left" w:pos="7371"/>
          <w:tab w:val="right" w:pos="8080"/>
        </w:tabs>
        <w:rPr>
          <w:rFonts w:cs="Tahoma"/>
          <w:szCs w:val="20"/>
        </w:rPr>
      </w:pPr>
      <w:r w:rsidRPr="00305AEB">
        <w:rPr>
          <w:rFonts w:cs="Tahoma"/>
          <w:szCs w:val="20"/>
        </w:rPr>
        <w:t>il metodo del credito d'imposta (art. 23 B).</w:t>
      </w:r>
    </w:p>
    <w:p w14:paraId="50158BB0" w14:textId="77777777" w:rsidR="007630E9" w:rsidRPr="00305AEB" w:rsidRDefault="008D15F0" w:rsidP="00186726">
      <w:pPr>
        <w:tabs>
          <w:tab w:val="left" w:pos="7371"/>
          <w:tab w:val="right" w:pos="8080"/>
        </w:tabs>
        <w:rPr>
          <w:rFonts w:cs="Tahoma"/>
          <w:szCs w:val="20"/>
        </w:rPr>
        <w:sectPr w:rsidR="007630E9" w:rsidRPr="00305AEB" w:rsidSect="00471E5B">
          <w:pgSz w:w="11906" w:h="16838" w:code="9"/>
          <w:pgMar w:top="1418" w:right="1418" w:bottom="510" w:left="1276" w:header="709" w:footer="567" w:gutter="0"/>
          <w:pgNumType w:chapStyle="1"/>
          <w:cols w:space="708"/>
          <w:titlePg/>
          <w:docGrid w:linePitch="360"/>
        </w:sectPr>
      </w:pPr>
      <w:r w:rsidRPr="00305AEB">
        <w:rPr>
          <w:rFonts w:cs="Tahoma"/>
          <w:szCs w:val="20"/>
        </w:rPr>
        <w:t>Le Convenzioni contro le doppie imposizioni si limitano, sul punto, a dettare principi generali in merito all'adozione di uno piuttosto che dell'altro metodo, lasciando però alla normativa interna il compito di quantificare concretamente il beneficio spettante (è, in pratica, quello che fa l’art. 165 del TUIR, nel dettare regole per la detrazione dall'IRPEF/IRES italiana dell'imposta assolta all'estero).</w:t>
      </w:r>
    </w:p>
    <w:bookmarkStart w:id="29" w:name="_Toc441598921"/>
    <w:bookmarkStart w:id="30" w:name="_Toc441599348"/>
    <w:bookmarkStart w:id="31" w:name="_Toc441598920"/>
    <w:bookmarkStart w:id="32" w:name="_Toc441599347"/>
    <w:bookmarkStart w:id="33" w:name="_Toc441600321"/>
    <w:bookmarkStart w:id="34" w:name="_Toc515199956"/>
    <w:bookmarkStart w:id="35" w:name="_Toc526517335"/>
    <w:bookmarkStart w:id="36" w:name="_Toc161933125"/>
    <w:p w14:paraId="1D6DCD2B" w14:textId="6DF84E0B" w:rsidR="008D15F0" w:rsidRPr="000F7D8F" w:rsidRDefault="007214C7" w:rsidP="000F7D8F">
      <w:pPr>
        <w:pStyle w:val="Titolo1"/>
      </w:pPr>
      <w:r w:rsidRPr="00186726">
        <w:rPr>
          <w:noProof/>
        </w:rPr>
        <w:lastRenderedPageBreak/>
        <mc:AlternateContent>
          <mc:Choice Requires="wps">
            <w:drawing>
              <wp:anchor distT="0" distB="0" distL="114300" distR="114300" simplePos="0" relativeHeight="251640320" behindDoc="0" locked="0" layoutInCell="1" allowOverlap="1" wp14:anchorId="23DFA130" wp14:editId="22D9FF8F">
                <wp:simplePos x="0" y="0"/>
                <wp:positionH relativeFrom="margin">
                  <wp:align>center</wp:align>
                </wp:positionH>
                <wp:positionV relativeFrom="paragraph">
                  <wp:posOffset>286294</wp:posOffset>
                </wp:positionV>
                <wp:extent cx="2438400" cy="0"/>
                <wp:effectExtent l="0" t="0" r="0" b="0"/>
                <wp:wrapNone/>
                <wp:docPr id="29" name="Auto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19050">
                          <a:solidFill>
                            <a:srgbClr val="40404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32A325" id="AutoShape 121" o:spid="_x0000_s1026" type="#_x0000_t32" style="position:absolute;margin-left:0;margin-top:22.55pt;width:192pt;height:0;z-index:2516403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" strokecolor="#404040" strokeweight="1.5pt">
                <w10:wrap anchorx="margin"/>
              </v:shape>
            </w:pict>
          </mc:Fallback>
        </mc:AlternateContent>
      </w:r>
      <w:bookmarkEnd w:id="29"/>
      <w:bookmarkEnd w:id="30"/>
      <w:r w:rsidR="008D15F0" w:rsidRPr="000F7D8F">
        <w:t>2.</w:t>
      </w:r>
      <w:bookmarkEnd w:id="31"/>
      <w:bookmarkEnd w:id="32"/>
      <w:bookmarkEnd w:id="33"/>
      <w:bookmarkEnd w:id="34"/>
      <w:bookmarkEnd w:id="35"/>
      <w:r w:rsidR="00BD0AC3" w:rsidRPr="007177D8">
        <w:br/>
      </w:r>
      <w:r w:rsidR="008D15F0" w:rsidRPr="00186726">
        <w:t>I redditi di lavoro dipendente</w:t>
      </w:r>
      <w:bookmarkEnd w:id="36"/>
    </w:p>
    <w:p w14:paraId="1864A0CC" w14:textId="77777777" w:rsidR="008D15F0" w:rsidRPr="00305AEB" w:rsidRDefault="008D15F0" w:rsidP="00186726">
      <w:pPr>
        <w:rPr>
          <w:rFonts w:cs="Tahoma"/>
        </w:rPr>
      </w:pPr>
    </w:p>
    <w:p w14:paraId="67797219" w14:textId="77777777" w:rsidR="008D15F0" w:rsidRPr="00305AEB" w:rsidRDefault="008D15F0" w:rsidP="00186726">
      <w:pPr>
        <w:rPr>
          <w:rFonts w:cs="Tahoma"/>
        </w:rPr>
      </w:pPr>
    </w:p>
    <w:p w14:paraId="391B0791" w14:textId="659CB674" w:rsidR="008D15F0" w:rsidRPr="00305AEB" w:rsidRDefault="008D15F0" w:rsidP="00186726">
      <w:pPr>
        <w:rPr>
          <w:rFonts w:cs="Tahoma"/>
        </w:rPr>
      </w:pPr>
    </w:p>
    <w:p w14:paraId="48105FF9" w14:textId="7A8525B8" w:rsidR="007630E9" w:rsidRPr="00305AEB" w:rsidRDefault="007630E9" w:rsidP="00186726">
      <w:pPr>
        <w:rPr>
          <w:rFonts w:cs="Tahoma"/>
        </w:rPr>
      </w:pPr>
    </w:p>
    <w:p w14:paraId="61050F22" w14:textId="1A227EF8" w:rsidR="007630E9" w:rsidRPr="00305AEB" w:rsidRDefault="007630E9" w:rsidP="00186726">
      <w:pPr>
        <w:rPr>
          <w:rFonts w:cs="Tahoma"/>
        </w:rPr>
      </w:pPr>
    </w:p>
    <w:p w14:paraId="59D6434F" w14:textId="77777777" w:rsidR="007630E9" w:rsidRPr="00305AEB" w:rsidRDefault="007630E9" w:rsidP="00186726">
      <w:pPr>
        <w:rPr>
          <w:rFonts w:cs="Tahoma"/>
        </w:rPr>
      </w:pPr>
    </w:p>
    <w:p w14:paraId="5CFE2163" w14:textId="77777777" w:rsidR="008D15F0" w:rsidRPr="00305AEB" w:rsidRDefault="008D15F0" w:rsidP="00186726">
      <w:pPr>
        <w:tabs>
          <w:tab w:val="left" w:pos="7371"/>
          <w:tab w:val="right" w:pos="8080"/>
        </w:tabs>
        <w:rPr>
          <w:rFonts w:cs="Tahoma"/>
          <w:szCs w:val="20"/>
        </w:rPr>
      </w:pPr>
      <w:r w:rsidRPr="00305AEB">
        <w:rPr>
          <w:rFonts w:cs="Tahoma"/>
          <w:szCs w:val="20"/>
        </w:rPr>
        <w:t>In questa parte dell’ebook si andrà nel dettaglio della modalità di tassazione ed indicazione nella dichiarazione dei redditi delle principali categorie reddituali conseguite dai contribuenti all’estero.</w:t>
      </w:r>
    </w:p>
    <w:p w14:paraId="1C53B965" w14:textId="4D58431A" w:rsidR="008D15F0" w:rsidRPr="00305AEB" w:rsidRDefault="00E74279" w:rsidP="00186726">
      <w:pPr>
        <w:tabs>
          <w:tab w:val="left" w:pos="7371"/>
          <w:tab w:val="right" w:pos="8080"/>
        </w:tabs>
        <w:rPr>
          <w:rFonts w:cs="Tahoma"/>
          <w:szCs w:val="20"/>
        </w:rPr>
      </w:pPr>
      <w:r>
        <w:rPr>
          <w:rFonts w:cs="Tahoma"/>
          <w:szCs w:val="20"/>
        </w:rPr>
        <w:t>È</w:t>
      </w:r>
      <w:r w:rsidR="008D15F0" w:rsidRPr="00305AEB">
        <w:rPr>
          <w:rFonts w:cs="Tahoma"/>
          <w:szCs w:val="20"/>
        </w:rPr>
        <w:t xml:space="preserve"> consigliabile per riuscire a comprendere tutti i passaggi che di seguito si faranno aver letto il primo capitolo dove vengono enunciati i principi generali della tassazione dei redditi esteri.</w:t>
      </w:r>
    </w:p>
    <w:p w14:paraId="52FC16C8" w14:textId="77777777" w:rsidR="008D15F0" w:rsidRPr="00305AEB" w:rsidRDefault="008D15F0" w:rsidP="00186726">
      <w:pPr>
        <w:tabs>
          <w:tab w:val="left" w:pos="7371"/>
          <w:tab w:val="right" w:pos="8080"/>
        </w:tabs>
        <w:rPr>
          <w:rFonts w:cs="Tahoma"/>
          <w:szCs w:val="20"/>
        </w:rPr>
      </w:pPr>
    </w:p>
    <w:p w14:paraId="2C02CE40" w14:textId="77777777" w:rsidR="008D15F0" w:rsidRPr="00305AEB" w:rsidRDefault="008D15F0" w:rsidP="00186726">
      <w:pPr>
        <w:pStyle w:val="Sottotitolo"/>
        <w:rPr>
          <w:rFonts w:cs="Tahoma"/>
          <w:spacing w:val="0"/>
        </w:rPr>
      </w:pPr>
      <w:bookmarkStart w:id="37" w:name="_Toc161933126"/>
      <w:r w:rsidRPr="00674665">
        <w:rPr>
          <w:rFonts w:cs="Tahoma"/>
          <w:spacing w:val="0"/>
        </w:rPr>
        <w:t>2.1 Principi generali</w:t>
      </w:r>
      <w:bookmarkEnd w:id="37"/>
      <w:r w:rsidRPr="00305AEB">
        <w:rPr>
          <w:rFonts w:cs="Tahoma"/>
          <w:spacing w:val="0"/>
        </w:rPr>
        <w:t xml:space="preserve"> </w:t>
      </w:r>
    </w:p>
    <w:p w14:paraId="02AF2DB1" w14:textId="77777777" w:rsidR="008D15F0" w:rsidRPr="00305AEB" w:rsidRDefault="008D15F0" w:rsidP="00186726">
      <w:pPr>
        <w:tabs>
          <w:tab w:val="left" w:pos="7371"/>
          <w:tab w:val="right" w:pos="8080"/>
        </w:tabs>
        <w:rPr>
          <w:rFonts w:cs="Tahoma"/>
          <w:szCs w:val="20"/>
        </w:rPr>
      </w:pPr>
      <w:r w:rsidRPr="00305AEB">
        <w:rPr>
          <w:rFonts w:cs="Tahoma"/>
          <w:szCs w:val="20"/>
        </w:rPr>
        <w:t>Come è stato anticipato, in base all’art. 3 del TUIR, i soggetti residenti in Italia sono assoggettati a tassazione in Italia in relazione a tutti i redditi posseduti e, di conseguenza, anche per quelli da lavoro dipendente prodotti all’estero.</w:t>
      </w:r>
    </w:p>
    <w:p w14:paraId="15789ADF" w14:textId="77777777" w:rsidR="008D15F0" w:rsidRPr="00305AEB" w:rsidRDefault="008D15F0" w:rsidP="00186726">
      <w:pPr>
        <w:tabs>
          <w:tab w:val="left" w:pos="7371"/>
          <w:tab w:val="right" w:pos="8080"/>
        </w:tabs>
        <w:rPr>
          <w:rFonts w:cs="Tahoma"/>
          <w:szCs w:val="20"/>
        </w:rPr>
      </w:pPr>
      <w:r w:rsidRPr="00305AEB">
        <w:rPr>
          <w:rFonts w:cs="Tahoma"/>
          <w:szCs w:val="20"/>
        </w:rPr>
        <w:t>Le modalità di imposizione sul lavoro dipendente prestato all’estero dipendono da una pluralità di fattori, tra i quali i principali riguardano:</w:t>
      </w:r>
    </w:p>
    <w:p w14:paraId="4EDA2000" w14:textId="77777777" w:rsidR="008D15F0" w:rsidRPr="00305AEB" w:rsidRDefault="008D15F0" w:rsidP="00186726">
      <w:pPr>
        <w:pStyle w:val="Paragrafoelenco"/>
        <w:numPr>
          <w:ilvl w:val="0"/>
          <w:numId w:val="14"/>
        </w:numPr>
        <w:tabs>
          <w:tab w:val="left" w:pos="7371"/>
          <w:tab w:val="right" w:pos="8080"/>
        </w:tabs>
        <w:rPr>
          <w:rFonts w:cs="Tahoma"/>
          <w:szCs w:val="20"/>
        </w:rPr>
      </w:pPr>
      <w:r w:rsidRPr="00305AEB">
        <w:rPr>
          <w:rFonts w:cs="Tahoma"/>
          <w:szCs w:val="20"/>
        </w:rPr>
        <w:t>la residenza fiscale del lavoratore;</w:t>
      </w:r>
    </w:p>
    <w:p w14:paraId="210A7951" w14:textId="77777777" w:rsidR="008D15F0" w:rsidRPr="00305AEB" w:rsidRDefault="008D15F0" w:rsidP="00186726">
      <w:pPr>
        <w:pStyle w:val="Paragrafoelenco"/>
        <w:numPr>
          <w:ilvl w:val="0"/>
          <w:numId w:val="14"/>
        </w:numPr>
        <w:tabs>
          <w:tab w:val="left" w:pos="7371"/>
          <w:tab w:val="right" w:pos="8080"/>
        </w:tabs>
        <w:rPr>
          <w:rFonts w:cs="Tahoma"/>
          <w:szCs w:val="20"/>
        </w:rPr>
      </w:pPr>
      <w:r w:rsidRPr="00305AEB">
        <w:rPr>
          <w:rFonts w:cs="Tahoma"/>
          <w:szCs w:val="20"/>
        </w:rPr>
        <w:t>il periodo di permanenza all’estero;</w:t>
      </w:r>
    </w:p>
    <w:p w14:paraId="29DCDFAF" w14:textId="77777777" w:rsidR="008D15F0" w:rsidRPr="00305AEB" w:rsidRDefault="008D15F0" w:rsidP="00186726">
      <w:pPr>
        <w:pStyle w:val="Paragrafoelenco"/>
        <w:numPr>
          <w:ilvl w:val="0"/>
          <w:numId w:val="14"/>
        </w:numPr>
        <w:tabs>
          <w:tab w:val="left" w:pos="7371"/>
          <w:tab w:val="right" w:pos="8080"/>
        </w:tabs>
        <w:rPr>
          <w:rFonts w:cs="Tahoma"/>
          <w:szCs w:val="20"/>
        </w:rPr>
      </w:pPr>
      <w:r w:rsidRPr="00305AEB">
        <w:rPr>
          <w:rFonts w:cs="Tahoma"/>
          <w:szCs w:val="20"/>
        </w:rPr>
        <w:t>la nazionalità del datore di lavoro;</w:t>
      </w:r>
    </w:p>
    <w:p w14:paraId="197E0C73" w14:textId="77777777" w:rsidR="008D15F0" w:rsidRPr="00305AEB" w:rsidRDefault="008D15F0" w:rsidP="00186726">
      <w:pPr>
        <w:pStyle w:val="Paragrafoelenco"/>
        <w:numPr>
          <w:ilvl w:val="0"/>
          <w:numId w:val="14"/>
        </w:numPr>
        <w:tabs>
          <w:tab w:val="left" w:pos="7371"/>
          <w:tab w:val="right" w:pos="8080"/>
        </w:tabs>
        <w:rPr>
          <w:rFonts w:cs="Tahoma"/>
          <w:szCs w:val="20"/>
        </w:rPr>
      </w:pPr>
      <w:r w:rsidRPr="00305AEB">
        <w:rPr>
          <w:rFonts w:cs="Tahoma"/>
          <w:szCs w:val="20"/>
        </w:rPr>
        <w:t>le modalità concrete di svolgimento dell’attività lavorativa nello Stato estero.</w:t>
      </w:r>
    </w:p>
    <w:p w14:paraId="13B06362" w14:textId="77777777" w:rsidR="008D15F0" w:rsidRPr="00305AEB" w:rsidRDefault="008D15F0" w:rsidP="00186726">
      <w:pPr>
        <w:tabs>
          <w:tab w:val="left" w:pos="7371"/>
          <w:tab w:val="right" w:pos="8080"/>
        </w:tabs>
        <w:rPr>
          <w:rFonts w:cs="Tahoma"/>
          <w:szCs w:val="20"/>
        </w:rPr>
      </w:pPr>
      <w:r w:rsidRPr="00305AEB">
        <w:rPr>
          <w:rFonts w:cs="Tahoma"/>
          <w:szCs w:val="20"/>
        </w:rPr>
        <w:t xml:space="preserve">Si tenga presente </w:t>
      </w:r>
      <w:proofErr w:type="gramStart"/>
      <w:r w:rsidRPr="00305AEB">
        <w:rPr>
          <w:rFonts w:cs="Tahoma"/>
          <w:szCs w:val="20"/>
        </w:rPr>
        <w:t>che</w:t>
      </w:r>
      <w:proofErr w:type="gramEnd"/>
      <w:r w:rsidRPr="00305AEB">
        <w:rPr>
          <w:rFonts w:cs="Tahoma"/>
          <w:szCs w:val="20"/>
        </w:rPr>
        <w:t xml:space="preserve"> se il lavoratore trasferitosi all’estero ha acquisito la residenza fiscale dell’altro Stato, non si pongono questioni di tassazione italiana del reddito, in quanto la prestazione lavorativa viene svolta all’estero, da un soggetto divenuto residente all’estero (l’art. 23 del TUIR, considera, infatti, imponibili in capo ai non residenti i soli redditi per il lavoro dipendente prestato in Italia, indipendentemente dalla nazionalità del datore di lavoro). </w:t>
      </w:r>
    </w:p>
    <w:p w14:paraId="11DED0B5" w14:textId="4DFB86A7" w:rsidR="0069364A" w:rsidRDefault="008D15F0" w:rsidP="00186726">
      <w:pPr>
        <w:tabs>
          <w:tab w:val="left" w:pos="7371"/>
          <w:tab w:val="right" w:pos="8080"/>
        </w:tabs>
        <w:rPr>
          <w:rFonts w:cs="Tahoma"/>
          <w:szCs w:val="20"/>
        </w:rPr>
      </w:pPr>
      <w:r w:rsidRPr="00305AEB">
        <w:rPr>
          <w:rFonts w:cs="Tahoma"/>
          <w:szCs w:val="20"/>
        </w:rPr>
        <w:lastRenderedPageBreak/>
        <w:t>Sussistono invece fenomeni di doppia imposizione nel caso, oggetto dell’analisi che segue, in cui la prestazione è resa all’estero, ma il soggetto mantiene la residenza fiscale italiana.</w:t>
      </w:r>
    </w:p>
    <w:p w14:paraId="00BD3E2D" w14:textId="77777777" w:rsidR="006249E3" w:rsidRPr="00305AEB" w:rsidRDefault="006249E3" w:rsidP="00186726">
      <w:pPr>
        <w:tabs>
          <w:tab w:val="left" w:pos="7371"/>
          <w:tab w:val="right" w:pos="8080"/>
        </w:tabs>
        <w:rPr>
          <w:rFonts w:cs="Tahoma"/>
          <w:szCs w:val="20"/>
        </w:rPr>
      </w:pPr>
    </w:p>
    <w:p w14:paraId="2BF95D3D" w14:textId="77777777" w:rsidR="008D15F0" w:rsidRPr="00305AEB" w:rsidRDefault="008D15F0" w:rsidP="00186726">
      <w:pPr>
        <w:pStyle w:val="NUOVOSOTTOPARAGRAFO"/>
        <w:rPr>
          <w:rFonts w:cs="Tahoma"/>
        </w:rPr>
      </w:pPr>
      <w:bookmarkStart w:id="38" w:name="_Toc161933127"/>
      <w:r w:rsidRPr="00674665">
        <w:rPr>
          <w:rFonts w:cs="Tahoma"/>
        </w:rPr>
        <w:t>2.1.1 Criteri generali di tassazione secondo la normativa italiana</w:t>
      </w:r>
      <w:bookmarkEnd w:id="38"/>
    </w:p>
    <w:p w14:paraId="187AAA74" w14:textId="77777777" w:rsidR="008D15F0" w:rsidRPr="00305AEB" w:rsidRDefault="008D15F0" w:rsidP="00186726">
      <w:pPr>
        <w:tabs>
          <w:tab w:val="left" w:pos="7371"/>
          <w:tab w:val="right" w:pos="8080"/>
        </w:tabs>
        <w:rPr>
          <w:rFonts w:cs="Tahoma"/>
          <w:szCs w:val="20"/>
        </w:rPr>
      </w:pPr>
      <w:r w:rsidRPr="00305AEB">
        <w:rPr>
          <w:rFonts w:cs="Tahoma"/>
          <w:szCs w:val="20"/>
        </w:rPr>
        <w:t>I criteri generali di tassazione dei lavoratori italiani all’estero sono i seguenti:</w:t>
      </w:r>
    </w:p>
    <w:p w14:paraId="34E9EDF2" w14:textId="77777777" w:rsidR="008D15F0" w:rsidRPr="00305AEB" w:rsidRDefault="008D15F0" w:rsidP="00186726">
      <w:pPr>
        <w:pStyle w:val="Paragrafoelenco"/>
        <w:numPr>
          <w:ilvl w:val="0"/>
          <w:numId w:val="15"/>
        </w:numPr>
        <w:tabs>
          <w:tab w:val="left" w:pos="7371"/>
          <w:tab w:val="right" w:pos="8080"/>
        </w:tabs>
        <w:rPr>
          <w:rFonts w:cs="Tahoma"/>
          <w:szCs w:val="20"/>
        </w:rPr>
      </w:pPr>
      <w:r w:rsidRPr="00305AEB">
        <w:rPr>
          <w:rFonts w:cs="Tahoma"/>
          <w:szCs w:val="20"/>
        </w:rPr>
        <w:t>tassazione analitica dei redditi;</w:t>
      </w:r>
    </w:p>
    <w:p w14:paraId="0D5A3389" w14:textId="77777777" w:rsidR="008D15F0" w:rsidRPr="00305AEB" w:rsidRDefault="008D15F0" w:rsidP="00186726">
      <w:pPr>
        <w:pStyle w:val="Paragrafoelenco"/>
        <w:numPr>
          <w:ilvl w:val="0"/>
          <w:numId w:val="15"/>
        </w:numPr>
        <w:tabs>
          <w:tab w:val="left" w:pos="7371"/>
          <w:tab w:val="right" w:pos="8080"/>
        </w:tabs>
        <w:rPr>
          <w:rFonts w:cs="Tahoma"/>
          <w:szCs w:val="20"/>
        </w:rPr>
      </w:pPr>
      <w:r w:rsidRPr="00305AEB">
        <w:rPr>
          <w:rFonts w:cs="Tahoma"/>
          <w:szCs w:val="20"/>
        </w:rPr>
        <w:t>retribuzioni convenzionali (art. 51, comma 8-bis del TUIR);</w:t>
      </w:r>
    </w:p>
    <w:p w14:paraId="5877C158" w14:textId="77777777" w:rsidR="008D15F0" w:rsidRPr="00305AEB" w:rsidRDefault="008D15F0" w:rsidP="00186726">
      <w:pPr>
        <w:pStyle w:val="Paragrafoelenco"/>
        <w:numPr>
          <w:ilvl w:val="0"/>
          <w:numId w:val="15"/>
        </w:numPr>
        <w:tabs>
          <w:tab w:val="left" w:pos="7371"/>
          <w:tab w:val="right" w:pos="8080"/>
        </w:tabs>
        <w:rPr>
          <w:rFonts w:cs="Tahoma"/>
          <w:szCs w:val="20"/>
        </w:rPr>
      </w:pPr>
      <w:r w:rsidRPr="00305AEB">
        <w:rPr>
          <w:rFonts w:cs="Tahoma"/>
          <w:szCs w:val="20"/>
        </w:rPr>
        <w:t>tassazione dei lavoratori frontalieri</w:t>
      </w:r>
    </w:p>
    <w:p w14:paraId="05413E1D" w14:textId="77777777" w:rsidR="008D15F0" w:rsidRPr="00305AEB" w:rsidRDefault="008D15F0" w:rsidP="00186726">
      <w:pPr>
        <w:tabs>
          <w:tab w:val="left" w:pos="7371"/>
          <w:tab w:val="right" w:pos="8080"/>
        </w:tabs>
        <w:rPr>
          <w:rFonts w:cs="Tahoma"/>
          <w:szCs w:val="20"/>
        </w:rPr>
      </w:pPr>
      <w:r w:rsidRPr="00305AEB">
        <w:rPr>
          <w:rFonts w:cs="Tahoma"/>
          <w:szCs w:val="20"/>
        </w:rPr>
        <w:t xml:space="preserve">Il </w:t>
      </w:r>
      <w:r w:rsidRPr="00305AEB">
        <w:rPr>
          <w:rFonts w:cs="Tahoma"/>
          <w:b/>
          <w:szCs w:val="20"/>
        </w:rPr>
        <w:t>regime ordinario</w:t>
      </w:r>
      <w:r w:rsidRPr="00305AEB">
        <w:rPr>
          <w:rFonts w:cs="Tahoma"/>
          <w:szCs w:val="20"/>
        </w:rPr>
        <w:t xml:space="preserve"> non ha alcun requisito particolare per poter essere applicato; infatti, si applica a tutti i lavoratori all’estero, se non ricorrono le condizioni per la tassazione secondo i due criteri alternativi che diremo in seguito.</w:t>
      </w:r>
    </w:p>
    <w:p w14:paraId="32F89CA7" w14:textId="77777777" w:rsidR="008D15F0" w:rsidRPr="00305AEB" w:rsidRDefault="008D15F0" w:rsidP="00186726">
      <w:pPr>
        <w:tabs>
          <w:tab w:val="left" w:pos="7371"/>
          <w:tab w:val="right" w:pos="8080"/>
        </w:tabs>
        <w:rPr>
          <w:rFonts w:cs="Tahoma"/>
          <w:szCs w:val="20"/>
        </w:rPr>
      </w:pPr>
      <w:r w:rsidRPr="00305AEB">
        <w:rPr>
          <w:rFonts w:cs="Tahoma"/>
          <w:szCs w:val="20"/>
        </w:rPr>
        <w:t>Con questa modalità di tassazione, la base imponibile è pari alle somme e valori percepiti all’estero, rideterminati secondo la normativa fiscale italiana (art. 51, commi da 1 a 8 del TUIR).</w:t>
      </w:r>
    </w:p>
    <w:p w14:paraId="069E7C67" w14:textId="77777777" w:rsidR="008D15F0" w:rsidRPr="00305AEB" w:rsidRDefault="008D15F0" w:rsidP="00186726">
      <w:pPr>
        <w:tabs>
          <w:tab w:val="left" w:pos="7371"/>
          <w:tab w:val="right" w:pos="8080"/>
        </w:tabs>
        <w:rPr>
          <w:rFonts w:cs="Tahoma"/>
          <w:szCs w:val="20"/>
        </w:rPr>
      </w:pPr>
      <w:r w:rsidRPr="00305AEB">
        <w:rPr>
          <w:rFonts w:cs="Tahoma"/>
          <w:szCs w:val="20"/>
        </w:rPr>
        <w:t xml:space="preserve">Il </w:t>
      </w:r>
      <w:r w:rsidRPr="00305AEB">
        <w:rPr>
          <w:rFonts w:cs="Tahoma"/>
          <w:b/>
          <w:szCs w:val="20"/>
        </w:rPr>
        <w:t>regime delle retribuzioni convenzionali</w:t>
      </w:r>
      <w:r w:rsidRPr="00305AEB">
        <w:rPr>
          <w:rFonts w:cs="Tahoma"/>
          <w:szCs w:val="20"/>
        </w:rPr>
        <w:t xml:space="preserve"> ha dei requisiti per poter essere applicato. Richiede che la prestazione di lavoro sia svolta all’estero in via continuativa e come oggetto esclusivo del rapporto di lavoro, e deve essere svolta all’estero per un periodo superiore a 183 giorni nell’arco di 12 mesi. La base imponibile sono le c.d. retribuzioni convenzionali (art. 51, comma 8-bis del TUIR).</w:t>
      </w:r>
    </w:p>
    <w:p w14:paraId="091724B5" w14:textId="1C9C80F8" w:rsidR="008D15F0" w:rsidRPr="00305AEB" w:rsidRDefault="008D15F0" w:rsidP="00186726">
      <w:pPr>
        <w:tabs>
          <w:tab w:val="left" w:pos="7371"/>
          <w:tab w:val="right" w:pos="8080"/>
        </w:tabs>
        <w:rPr>
          <w:rFonts w:cs="Tahoma"/>
          <w:szCs w:val="20"/>
        </w:rPr>
      </w:pPr>
      <w:r w:rsidRPr="00305AEB">
        <w:rPr>
          <w:rFonts w:cs="Tahoma"/>
          <w:szCs w:val="20"/>
        </w:rPr>
        <w:t xml:space="preserve">Il </w:t>
      </w:r>
      <w:r w:rsidRPr="00305AEB">
        <w:rPr>
          <w:rFonts w:cs="Tahoma"/>
          <w:b/>
          <w:szCs w:val="20"/>
        </w:rPr>
        <w:t>regime di lavoratori frontalieri</w:t>
      </w:r>
      <w:r w:rsidRPr="00305AEB">
        <w:rPr>
          <w:rFonts w:cs="Tahoma"/>
          <w:szCs w:val="20"/>
        </w:rPr>
        <w:t xml:space="preserve"> ha dei requisiti per poter essere applicato. Richiede che il lavoro dipendente sia svolto in zone di frontiera o in altri Stati limitrofi in via continuativa e come oggetto esclusivo del rapporto di lavoro, e il lavoratore deve recarsi quotidianamente all’estero per lo svolgimento della prestazione. In tal caso, la base imponibile è pari alle somme e valori percepiti all’estero, rideterminati secondo la normativa fiscale italiana, assunti al netto di una “franchigia” di 7.500 </w:t>
      </w:r>
      <w:proofErr w:type="gramStart"/>
      <w:r w:rsidRPr="00305AEB">
        <w:rPr>
          <w:rFonts w:cs="Tahoma"/>
          <w:szCs w:val="20"/>
        </w:rPr>
        <w:t>Euro</w:t>
      </w:r>
      <w:proofErr w:type="gramEnd"/>
      <w:r w:rsidR="001557A1">
        <w:rPr>
          <w:rFonts w:cs="Tahoma"/>
          <w:szCs w:val="20"/>
        </w:rPr>
        <w:t xml:space="preserve"> </w:t>
      </w:r>
      <w:r w:rsidR="001557A1" w:rsidRPr="007214C7">
        <w:rPr>
          <w:rFonts w:cs="Tahoma"/>
          <w:szCs w:val="20"/>
        </w:rPr>
        <w:t>(10.000 euro dal 2024)</w:t>
      </w:r>
      <w:r w:rsidRPr="007214C7">
        <w:rPr>
          <w:rFonts w:cs="Tahoma"/>
          <w:szCs w:val="20"/>
        </w:rPr>
        <w:t>.</w:t>
      </w:r>
    </w:p>
    <w:p w14:paraId="57E7EA73" w14:textId="77777777" w:rsidR="008D15F0" w:rsidRPr="00305AEB" w:rsidRDefault="008D15F0" w:rsidP="00186726">
      <w:pPr>
        <w:tabs>
          <w:tab w:val="left" w:pos="7371"/>
          <w:tab w:val="right" w:pos="8080"/>
        </w:tabs>
        <w:rPr>
          <w:rFonts w:cs="Tahoma"/>
          <w:szCs w:val="20"/>
        </w:rPr>
      </w:pPr>
      <w:r w:rsidRPr="00305AEB">
        <w:rPr>
          <w:rFonts w:cs="Tahoma"/>
          <w:szCs w:val="20"/>
        </w:rPr>
        <w:t xml:space="preserve">Si tenga presente </w:t>
      </w:r>
      <w:proofErr w:type="gramStart"/>
      <w:r w:rsidRPr="00305AEB">
        <w:rPr>
          <w:rFonts w:cs="Tahoma"/>
          <w:szCs w:val="20"/>
        </w:rPr>
        <w:t>che</w:t>
      </w:r>
      <w:proofErr w:type="gramEnd"/>
      <w:r w:rsidRPr="00305AEB">
        <w:rPr>
          <w:rFonts w:cs="Tahoma"/>
          <w:szCs w:val="20"/>
        </w:rPr>
        <w:t xml:space="preserve"> se le somme percepite non sono espresse in euro, la conversione avviene secondo le regole generali stabilite dall’art. 9, comma 2 del TUIR, secondo cui occorre adottare il cambio del giorno in cui esse sono state percepite o del giorno antecedente più prossimo o, in mancanza, il cambio del mese in cui le somme sono state percepite.</w:t>
      </w:r>
    </w:p>
    <w:p w14:paraId="771A2E8B" w14:textId="77777777" w:rsidR="008D15F0" w:rsidRPr="00305AEB" w:rsidRDefault="008D15F0" w:rsidP="00186726">
      <w:pPr>
        <w:tabs>
          <w:tab w:val="left" w:pos="7371"/>
          <w:tab w:val="right" w:pos="8080"/>
        </w:tabs>
        <w:rPr>
          <w:rFonts w:cs="Tahoma"/>
          <w:szCs w:val="20"/>
        </w:rPr>
      </w:pPr>
      <w:r w:rsidRPr="00305AEB">
        <w:rPr>
          <w:rFonts w:cs="Tahoma"/>
          <w:szCs w:val="20"/>
        </w:rPr>
        <w:t>Un'altra cosa alla quale è necessario fare attenzione è che risulta possibile dedurre dal reddito complessivo i contributi obbligatori versati nello Stato estero. La C.M. n. 17/2015 ha ritenuto corretto scomputare tali contributi obbligatori direttamente nel quadro RC della dichiarazione (che vede, quindi, il reddito di fonte estera già decurtato dei contributi, e non nel quadro RP.</w:t>
      </w:r>
    </w:p>
    <w:p w14:paraId="21CD5079" w14:textId="72F80777" w:rsidR="008D15F0" w:rsidRPr="00305AEB" w:rsidRDefault="008D15F0" w:rsidP="00186726">
      <w:pPr>
        <w:pStyle w:val="NUOVOSOTTOPARAGRAFO"/>
        <w:rPr>
          <w:rFonts w:cs="Tahoma"/>
        </w:rPr>
      </w:pPr>
      <w:bookmarkStart w:id="39" w:name="_Toc161933128"/>
      <w:r w:rsidRPr="00305AEB">
        <w:rPr>
          <w:rFonts w:cs="Tahoma"/>
        </w:rPr>
        <w:lastRenderedPageBreak/>
        <w:t>2.1.2 I lavoratori frontalieri</w:t>
      </w:r>
      <w:bookmarkEnd w:id="39"/>
    </w:p>
    <w:p w14:paraId="2DED23B7" w14:textId="77777777" w:rsidR="00356F0B" w:rsidRDefault="00356F0B" w:rsidP="00186726">
      <w:pPr>
        <w:tabs>
          <w:tab w:val="left" w:pos="7371"/>
          <w:tab w:val="right" w:pos="8080"/>
        </w:tabs>
        <w:rPr>
          <w:rFonts w:cs="Tahoma"/>
          <w:szCs w:val="20"/>
        </w:rPr>
      </w:pPr>
      <w:r w:rsidRPr="00C20BF9">
        <w:rPr>
          <w:rFonts w:cs="Tahoma"/>
          <w:szCs w:val="20"/>
        </w:rPr>
        <w:t>I lavoratori frontalieri possono beneficiare di disposizioni agevolative sia da parte di norme speciali interne, le quali prevedono un’apposita franchigia di reddito non assoggettato ad imposta, sia da parte di accordi internazionali, che riservano il beneficio della tassazione esclusiva nello Stato dove è svolta l’attività o nello Stato di residenza.</w:t>
      </w:r>
    </w:p>
    <w:p w14:paraId="021A91EA" w14:textId="77777777" w:rsidR="008D15F0" w:rsidRPr="00305AEB" w:rsidRDefault="008D15F0" w:rsidP="00186726">
      <w:pPr>
        <w:tabs>
          <w:tab w:val="left" w:pos="7371"/>
          <w:tab w:val="right" w:pos="8080"/>
        </w:tabs>
        <w:rPr>
          <w:rFonts w:cs="Tahoma"/>
          <w:szCs w:val="20"/>
        </w:rPr>
      </w:pPr>
      <w:r w:rsidRPr="00305AEB">
        <w:rPr>
          <w:rFonts w:cs="Tahoma"/>
          <w:szCs w:val="20"/>
        </w:rPr>
        <w:t>Come abbiamo già accennato poc’anzi, i lavoratori frontalieri sono:</w:t>
      </w:r>
    </w:p>
    <w:p w14:paraId="505C7CCC" w14:textId="77777777" w:rsidR="008D15F0" w:rsidRPr="00305AEB" w:rsidRDefault="008D15F0" w:rsidP="00186726">
      <w:pPr>
        <w:numPr>
          <w:ilvl w:val="0"/>
          <w:numId w:val="17"/>
        </w:numPr>
        <w:tabs>
          <w:tab w:val="left" w:pos="7371"/>
          <w:tab w:val="right" w:pos="8080"/>
        </w:tabs>
        <w:ind w:left="714" w:hanging="357"/>
        <w:contextualSpacing/>
        <w:rPr>
          <w:rFonts w:cs="Tahoma"/>
          <w:szCs w:val="20"/>
        </w:rPr>
      </w:pPr>
      <w:r w:rsidRPr="00305AEB">
        <w:rPr>
          <w:rFonts w:cs="Tahoma"/>
          <w:szCs w:val="20"/>
        </w:rPr>
        <w:t>Lavoratori fiscalmente residenti in Italia;</w:t>
      </w:r>
    </w:p>
    <w:p w14:paraId="072C8032" w14:textId="77777777" w:rsidR="008D15F0" w:rsidRPr="00305AEB" w:rsidRDefault="008D15F0" w:rsidP="00186726">
      <w:pPr>
        <w:numPr>
          <w:ilvl w:val="0"/>
          <w:numId w:val="17"/>
        </w:numPr>
        <w:tabs>
          <w:tab w:val="left" w:pos="7371"/>
          <w:tab w:val="right" w:pos="8080"/>
        </w:tabs>
        <w:ind w:left="714" w:hanging="357"/>
        <w:contextualSpacing/>
        <w:rPr>
          <w:rFonts w:cs="Tahoma"/>
          <w:szCs w:val="20"/>
        </w:rPr>
      </w:pPr>
      <w:r w:rsidRPr="00305AEB">
        <w:rPr>
          <w:rFonts w:cs="Tahoma"/>
          <w:szCs w:val="20"/>
        </w:rPr>
        <w:t>Prestano la propria attività all’estero in zone di frontiera (es. Francia, Austria, San Marino) o in altri Paesi limitrofi (es. Principato di Monaco), in via continuativa e come oggetto esclusivo del rapporto di lavoro;</w:t>
      </w:r>
    </w:p>
    <w:p w14:paraId="513EBFBA" w14:textId="77777777" w:rsidR="008D15F0" w:rsidRPr="00305AEB" w:rsidRDefault="008D15F0" w:rsidP="00186726">
      <w:pPr>
        <w:numPr>
          <w:ilvl w:val="0"/>
          <w:numId w:val="17"/>
        </w:numPr>
        <w:tabs>
          <w:tab w:val="left" w:pos="7371"/>
          <w:tab w:val="right" w:pos="8080"/>
        </w:tabs>
        <w:rPr>
          <w:rFonts w:cs="Tahoma"/>
          <w:szCs w:val="20"/>
        </w:rPr>
      </w:pPr>
      <w:r w:rsidRPr="00305AEB">
        <w:rPr>
          <w:rFonts w:cs="Tahoma"/>
          <w:szCs w:val="20"/>
        </w:rPr>
        <w:t>Che quotidianamente si recano all’estero per svolgere la prestazione di lavoro.</w:t>
      </w:r>
    </w:p>
    <w:p w14:paraId="53C3435E" w14:textId="4CD79346" w:rsidR="006A69A9" w:rsidRPr="00305AEB" w:rsidRDefault="008D15F0" w:rsidP="00186726">
      <w:pPr>
        <w:tabs>
          <w:tab w:val="left" w:pos="7371"/>
          <w:tab w:val="right" w:pos="8080"/>
        </w:tabs>
        <w:rPr>
          <w:rFonts w:cs="Tahoma"/>
          <w:szCs w:val="20"/>
        </w:rPr>
      </w:pPr>
      <w:r w:rsidRPr="00305AEB">
        <w:rPr>
          <w:rFonts w:cs="Tahoma"/>
          <w:szCs w:val="20"/>
        </w:rPr>
        <w:t>Si tenga presente che alcuni accordi internazionali stipulati dall’Italia contengono vincoli ulteriori. Nel contesto dell’accordo bilaterale Italia-Svizzera del 3.10.74, infatti, i benefici sono riservati ai soggetti residenti nella fascia di confine di 20 km che separa il Comune di residenza italiano dai Cantoni del Ticino, dei Grigioni e del Vallese (gli unici Cantoni nei quali, a sua volta, il frontaliere può lavorare per beneficiare delle agevolazioni (si veda al riguardo la R.M. n. 38/E del 2017).</w:t>
      </w:r>
    </w:p>
    <w:p w14:paraId="2245DE16" w14:textId="2686D699" w:rsidR="008D15F0" w:rsidRPr="00305AEB" w:rsidRDefault="008D15F0" w:rsidP="00186726">
      <w:pPr>
        <w:tabs>
          <w:tab w:val="left" w:pos="7371"/>
          <w:tab w:val="right" w:pos="8080"/>
        </w:tabs>
        <w:rPr>
          <w:rFonts w:cs="Tahoma"/>
          <w:szCs w:val="20"/>
        </w:rPr>
      </w:pPr>
      <w:r w:rsidRPr="00305AEB">
        <w:rPr>
          <w:rFonts w:cs="Tahoma"/>
          <w:szCs w:val="20"/>
        </w:rPr>
        <w:t xml:space="preserve">Per quanto riguarda la normativa interna (art. 1, comma 175 della Legge n. 147 del 2013) il reddito di lavoro dipendente prestato all’estero in zona di frontiera o in Stati limitrofi, in via continuativa e come oggetto esclusivo del rapporto, da soggetti residenti, concorre a formare il reddito complessivo per l’importo eccedente 7.500 </w:t>
      </w:r>
      <w:proofErr w:type="gramStart"/>
      <w:r w:rsidRPr="00305AEB">
        <w:rPr>
          <w:rFonts w:cs="Tahoma"/>
          <w:szCs w:val="20"/>
        </w:rPr>
        <w:t>Euro</w:t>
      </w:r>
      <w:proofErr w:type="gramEnd"/>
      <w:r w:rsidR="005E3AC9">
        <w:rPr>
          <w:rFonts w:cs="Tahoma"/>
          <w:szCs w:val="20"/>
        </w:rPr>
        <w:t xml:space="preserve"> (10.000 Euro dal 2024)</w:t>
      </w:r>
      <w:r w:rsidRPr="00305AEB">
        <w:rPr>
          <w:rFonts w:cs="Tahoma"/>
          <w:szCs w:val="20"/>
        </w:rPr>
        <w:t>.</w:t>
      </w:r>
    </w:p>
    <w:p w14:paraId="6D65B9FF" w14:textId="77777777" w:rsidR="008D15F0" w:rsidRPr="00305AEB" w:rsidRDefault="008D15F0" w:rsidP="00186726">
      <w:pPr>
        <w:tabs>
          <w:tab w:val="left" w:pos="7371"/>
          <w:tab w:val="right" w:pos="8080"/>
        </w:tabs>
        <w:rPr>
          <w:rFonts w:cs="Tahoma"/>
          <w:szCs w:val="20"/>
        </w:rPr>
      </w:pPr>
      <w:r w:rsidRPr="00305AEB">
        <w:rPr>
          <w:rFonts w:cs="Tahoma"/>
          <w:szCs w:val="20"/>
        </w:rPr>
        <w:t xml:space="preserve">Quindi, se per esempio il frontaliere ritrae all’estero un reddito pari a 60.000 </w:t>
      </w:r>
      <w:proofErr w:type="gramStart"/>
      <w:r w:rsidRPr="00305AEB">
        <w:rPr>
          <w:rFonts w:cs="Tahoma"/>
          <w:szCs w:val="20"/>
        </w:rPr>
        <w:t>Euro</w:t>
      </w:r>
      <w:proofErr w:type="gramEnd"/>
      <w:r w:rsidRPr="00305AEB">
        <w:rPr>
          <w:rFonts w:cs="Tahoma"/>
          <w:szCs w:val="20"/>
        </w:rPr>
        <w:t>, sarà assoggettato a tassazione l’importo di 52.500 Euro. Nel quadro RC del modello REDDITI è presente il campo “Quota esente frontaliere” (rigo RC5, colonna 1), dove sarà necessario indicare la franchigia di 7.500, che va a sottrarsi dal reddito lordo.</w:t>
      </w:r>
    </w:p>
    <w:p w14:paraId="729D5AD4" w14:textId="77777777" w:rsidR="008D15F0" w:rsidRPr="00305AEB" w:rsidRDefault="008D15F0" w:rsidP="00186726">
      <w:pPr>
        <w:tabs>
          <w:tab w:val="left" w:pos="7371"/>
          <w:tab w:val="right" w:pos="8080"/>
        </w:tabs>
        <w:rPr>
          <w:rFonts w:cs="Tahoma"/>
          <w:szCs w:val="20"/>
        </w:rPr>
      </w:pPr>
      <w:r w:rsidRPr="00305AEB">
        <w:rPr>
          <w:rFonts w:cs="Tahoma"/>
          <w:szCs w:val="20"/>
        </w:rPr>
        <w:t xml:space="preserve">Si tenga presente che nella C.M. n. 2/E del 2003, l’Agenzia delle Entrate ha chiarito che la franchigia di 7.500 </w:t>
      </w:r>
      <w:proofErr w:type="gramStart"/>
      <w:r w:rsidRPr="00305AEB">
        <w:rPr>
          <w:rFonts w:cs="Tahoma"/>
          <w:szCs w:val="20"/>
        </w:rPr>
        <w:t>Euro</w:t>
      </w:r>
      <w:proofErr w:type="gramEnd"/>
      <w:r w:rsidRPr="00305AEB">
        <w:rPr>
          <w:rFonts w:cs="Tahoma"/>
          <w:szCs w:val="20"/>
        </w:rPr>
        <w:t xml:space="preserve"> è riferita al reddito complessivo annuo derivante dall’attività lavorativa in zone di frontiera, e non a ciascun rapporto di lavoro. </w:t>
      </w:r>
    </w:p>
    <w:p w14:paraId="5B125FD5" w14:textId="1B434443" w:rsidR="00F10C4A" w:rsidRPr="00305AEB" w:rsidRDefault="00F10C4A" w:rsidP="00186726">
      <w:pPr>
        <w:tabs>
          <w:tab w:val="left" w:pos="7371"/>
          <w:tab w:val="right" w:pos="8080"/>
        </w:tabs>
        <w:rPr>
          <w:rFonts w:cs="Tahoma"/>
          <w:szCs w:val="20"/>
        </w:rPr>
      </w:pPr>
      <w:r w:rsidRPr="00305AEB">
        <w:rPr>
          <w:rFonts w:cs="Tahoma"/>
          <w:szCs w:val="20"/>
        </w:rPr>
        <w:t>La stessa circolare ha precisato</w:t>
      </w:r>
      <w:r w:rsidR="00DB25C9" w:rsidRPr="00305AEB">
        <w:rPr>
          <w:rFonts w:cs="Tahoma"/>
          <w:szCs w:val="20"/>
        </w:rPr>
        <w:t xml:space="preserve"> che, se la tassazione è operata direttamente dal sostituto d'imposta, la franchigia è rapportata ai singoli periodi di paga. </w:t>
      </w:r>
    </w:p>
    <w:p w14:paraId="31B88339" w14:textId="30C2AB22" w:rsidR="00C5577E" w:rsidRPr="00305AEB" w:rsidRDefault="00F10C4A" w:rsidP="00186726">
      <w:pPr>
        <w:tabs>
          <w:tab w:val="left" w:pos="7371"/>
          <w:tab w:val="right" w:pos="8080"/>
        </w:tabs>
        <w:rPr>
          <w:rFonts w:cs="Tahoma"/>
          <w:szCs w:val="20"/>
        </w:rPr>
      </w:pPr>
      <w:r w:rsidRPr="00305AEB">
        <w:rPr>
          <w:rFonts w:cs="Tahoma"/>
          <w:szCs w:val="20"/>
        </w:rPr>
        <w:lastRenderedPageBreak/>
        <w:t>Infine</w:t>
      </w:r>
      <w:r w:rsidR="00C5577E" w:rsidRPr="00305AEB">
        <w:rPr>
          <w:rFonts w:cs="Tahoma"/>
          <w:szCs w:val="20"/>
        </w:rPr>
        <w:t xml:space="preserve">, sempre </w:t>
      </w:r>
      <w:r w:rsidRPr="00305AEB">
        <w:rPr>
          <w:rFonts w:cs="Tahoma"/>
          <w:szCs w:val="20"/>
        </w:rPr>
        <w:t>lo stesso documento di prassi</w:t>
      </w:r>
      <w:r w:rsidR="00C5577E" w:rsidRPr="00305AEB">
        <w:rPr>
          <w:rFonts w:cs="Tahoma"/>
          <w:szCs w:val="20"/>
        </w:rPr>
        <w:t xml:space="preserve"> ha menzionato, tra le zone di frontiera, quelle appartenenti a Francia, Austria, San Marino e Città del Vaticano. Ad esse vanno aggiunte le zone di frontiera della Svizzera e della Slovenia.</w:t>
      </w:r>
    </w:p>
    <w:p w14:paraId="5CFBA5AD" w14:textId="77777777" w:rsidR="00E87C17" w:rsidRPr="00305AEB" w:rsidRDefault="00C5577E" w:rsidP="00186726">
      <w:pPr>
        <w:tabs>
          <w:tab w:val="left" w:pos="7371"/>
          <w:tab w:val="right" w:pos="8080"/>
        </w:tabs>
        <w:rPr>
          <w:rFonts w:cs="Tahoma"/>
          <w:szCs w:val="20"/>
        </w:rPr>
      </w:pPr>
      <w:r w:rsidRPr="00305AEB">
        <w:rPr>
          <w:rFonts w:cs="Tahoma"/>
          <w:szCs w:val="20"/>
        </w:rPr>
        <w:t>Tra gli stati limitrofi la medesima circolare menziona il Principato di Monaco. Anche in questo caso, si dovrebbe aggiungere la Croazia.</w:t>
      </w:r>
    </w:p>
    <w:p w14:paraId="0CA85BA5" w14:textId="494BFC82" w:rsidR="007568F3" w:rsidRPr="00305AEB" w:rsidRDefault="007568F3" w:rsidP="00186726">
      <w:pPr>
        <w:tabs>
          <w:tab w:val="left" w:pos="7371"/>
          <w:tab w:val="right" w:pos="8080"/>
        </w:tabs>
        <w:rPr>
          <w:rFonts w:cs="Tahoma"/>
          <w:szCs w:val="20"/>
        </w:rPr>
      </w:pPr>
      <w:r w:rsidRPr="00305AEB">
        <w:rPr>
          <w:rFonts w:cs="Tahoma"/>
          <w:szCs w:val="20"/>
        </w:rPr>
        <w:t xml:space="preserve">Nella </w:t>
      </w:r>
      <w:r w:rsidR="00E87C17" w:rsidRPr="00305AEB">
        <w:rPr>
          <w:rFonts w:cs="Tahoma"/>
          <w:szCs w:val="20"/>
        </w:rPr>
        <w:t xml:space="preserve">R.M. n. </w:t>
      </w:r>
      <w:r w:rsidRPr="00305AEB">
        <w:rPr>
          <w:rFonts w:cs="Tahoma"/>
          <w:szCs w:val="20"/>
        </w:rPr>
        <w:t>38</w:t>
      </w:r>
      <w:r w:rsidR="00E87C17" w:rsidRPr="00305AEB">
        <w:rPr>
          <w:rFonts w:cs="Tahoma"/>
          <w:szCs w:val="20"/>
        </w:rPr>
        <w:t>/E del 2017</w:t>
      </w:r>
      <w:r w:rsidRPr="00305AEB">
        <w:rPr>
          <w:rFonts w:cs="Tahoma"/>
          <w:szCs w:val="20"/>
        </w:rPr>
        <w:t xml:space="preserve"> si evidenzia che, se il reddito dei frontalieri è tassato in entrambi gli Stati, il credito per le imposte pagate all'estero dovrebbe essere determinato a norma dell'</w:t>
      </w:r>
      <w:r w:rsidR="00E87C17" w:rsidRPr="00305AEB">
        <w:rPr>
          <w:rFonts w:cs="Tahoma"/>
          <w:szCs w:val="20"/>
        </w:rPr>
        <w:t>art. 165, comma 10 del TUIR</w:t>
      </w:r>
      <w:r w:rsidRPr="00305AEB">
        <w:rPr>
          <w:rFonts w:cs="Tahoma"/>
          <w:szCs w:val="20"/>
        </w:rPr>
        <w:t xml:space="preserve"> (norma in base alla quale, se il reddito estero concorre solo parzialmente alla formazione del reddito complessivo italiano, l'imposta estera accreditabile deve essere ridotta in misura corrispondente). </w:t>
      </w:r>
    </w:p>
    <w:p w14:paraId="064666FF" w14:textId="0F981F2A" w:rsidR="004035D2" w:rsidRDefault="004035D2" w:rsidP="00186726">
      <w:pPr>
        <w:tabs>
          <w:tab w:val="left" w:pos="7371"/>
          <w:tab w:val="right" w:pos="8080"/>
        </w:tabs>
        <w:rPr>
          <w:rFonts w:cs="Tahoma"/>
          <w:szCs w:val="20"/>
        </w:rPr>
      </w:pPr>
      <w:r w:rsidRPr="00305AEB">
        <w:rPr>
          <w:rFonts w:cs="Tahoma"/>
          <w:szCs w:val="20"/>
        </w:rPr>
        <w:t xml:space="preserve">Si tenga </w:t>
      </w:r>
      <w:proofErr w:type="gramStart"/>
      <w:r w:rsidRPr="00305AEB">
        <w:rPr>
          <w:rFonts w:cs="Tahoma"/>
          <w:szCs w:val="20"/>
        </w:rPr>
        <w:t>presente infine</w:t>
      </w:r>
      <w:proofErr w:type="gramEnd"/>
      <w:r w:rsidRPr="00305AEB">
        <w:rPr>
          <w:rFonts w:cs="Tahoma"/>
          <w:szCs w:val="20"/>
        </w:rPr>
        <w:t xml:space="preserve"> che l'Italia ha stipulato appositi accordi con la Svizzera, con l’Austria e con la Francia ai fini di considerare come giorni di lavoro trascorsi nell'altro Stato quelli in cui la persona ha invece lavorato dal proprio domicilio per le restrizioni dovute alla pandemia COVID-19. Per l'Austria, è stata prevista in modo espresso la cessazione dei relativi effetti al 30.6.2022; anche nei rapporti con la Francia gli effetti degli accordi sono cessati al 30.6.2022, in assenza di un loro rinnovo; per la Svizzera, infine, gli effetti cessano l'1.2.2023. </w:t>
      </w:r>
    </w:p>
    <w:p w14:paraId="5E618DB9" w14:textId="77777777" w:rsidR="006249E3" w:rsidRPr="00305AEB" w:rsidRDefault="006249E3" w:rsidP="00186726">
      <w:pPr>
        <w:tabs>
          <w:tab w:val="left" w:pos="7371"/>
          <w:tab w:val="right" w:pos="8080"/>
        </w:tabs>
        <w:rPr>
          <w:rFonts w:cs="Tahoma"/>
          <w:szCs w:val="20"/>
        </w:rPr>
      </w:pPr>
    </w:p>
    <w:p w14:paraId="66087450" w14:textId="28AB1106" w:rsidR="00C060FA" w:rsidRPr="00305AEB" w:rsidRDefault="00C060FA" w:rsidP="00C060FA">
      <w:pPr>
        <w:pStyle w:val="NUOVOSOTTOPARAGRAFO"/>
        <w:rPr>
          <w:rFonts w:cs="Tahoma"/>
        </w:rPr>
      </w:pPr>
      <w:bookmarkStart w:id="40" w:name="_Toc161933129"/>
      <w:r w:rsidRPr="00305AEB">
        <w:rPr>
          <w:rFonts w:cs="Tahoma"/>
        </w:rPr>
        <w:t>2.1.</w:t>
      </w:r>
      <w:r>
        <w:rPr>
          <w:rFonts w:cs="Tahoma"/>
        </w:rPr>
        <w:t>3</w:t>
      </w:r>
      <w:r w:rsidRPr="00305AEB">
        <w:rPr>
          <w:rFonts w:cs="Tahoma"/>
        </w:rPr>
        <w:t xml:space="preserve"> </w:t>
      </w:r>
      <w:r>
        <w:rPr>
          <w:rFonts w:cs="Tahoma"/>
        </w:rPr>
        <w:t>Frontalieri in Svizzera con nuovo regime fiscale</w:t>
      </w:r>
      <w:bookmarkEnd w:id="40"/>
    </w:p>
    <w:p w14:paraId="4513FD0B" w14:textId="77777777" w:rsidR="00DD60A5" w:rsidRDefault="006C3A92" w:rsidP="00DD60A5">
      <w:pPr>
        <w:tabs>
          <w:tab w:val="left" w:pos="7371"/>
          <w:tab w:val="right" w:pos="8080"/>
        </w:tabs>
        <w:rPr>
          <w:rFonts w:cs="Tahoma"/>
          <w:szCs w:val="20"/>
        </w:rPr>
      </w:pPr>
      <w:r w:rsidRPr="006C3A92">
        <w:rPr>
          <w:rFonts w:cs="Tahoma"/>
          <w:szCs w:val="20"/>
        </w:rPr>
        <w:t>Con la pubblicazione sulla Gazzetta Ufficiale d</w:t>
      </w:r>
      <w:r w:rsidR="00681FA7" w:rsidRPr="00681FA7">
        <w:rPr>
          <w:rFonts w:cs="Tahoma"/>
          <w:szCs w:val="20"/>
        </w:rPr>
        <w:t xml:space="preserve">el 30/06/2023 </w:t>
      </w:r>
      <w:r w:rsidRPr="006C3A92">
        <w:rPr>
          <w:rFonts w:cs="Tahoma"/>
          <w:szCs w:val="20"/>
        </w:rPr>
        <w:t>della L. 13 giugno 2023 n.</w:t>
      </w:r>
      <w:r w:rsidR="00681FA7" w:rsidRPr="00681FA7">
        <w:rPr>
          <w:rFonts w:cs="Tahoma"/>
          <w:szCs w:val="20"/>
        </w:rPr>
        <w:t xml:space="preserve"> 83</w:t>
      </w:r>
      <w:r w:rsidRPr="006C3A92">
        <w:rPr>
          <w:rFonts w:cs="Tahoma"/>
          <w:szCs w:val="20"/>
        </w:rPr>
        <w:t xml:space="preserve"> si </w:t>
      </w:r>
      <w:r w:rsidR="00681FA7" w:rsidRPr="00681FA7">
        <w:rPr>
          <w:rFonts w:cs="Tahoma"/>
          <w:szCs w:val="20"/>
        </w:rPr>
        <w:t xml:space="preserve">è </w:t>
      </w:r>
      <w:r w:rsidRPr="006C3A92">
        <w:rPr>
          <w:rFonts w:cs="Tahoma"/>
          <w:szCs w:val="20"/>
        </w:rPr>
        <w:t>conclu</w:t>
      </w:r>
      <w:r w:rsidR="00681FA7" w:rsidRPr="00681FA7">
        <w:rPr>
          <w:rFonts w:cs="Tahoma"/>
          <w:szCs w:val="20"/>
        </w:rPr>
        <w:t>so</w:t>
      </w:r>
      <w:r w:rsidRPr="006C3A92">
        <w:rPr>
          <w:rFonts w:cs="Tahoma"/>
          <w:szCs w:val="20"/>
        </w:rPr>
        <w:t xml:space="preserve"> l’iter di approvazione del nuovo Accordo tra l’Italia e la Svizzera sui lavoratori frontalieri, fatto a Roma il 23 dicembre 2020 e destinato a sostituire l’Accordo del 1974 che da cinquant’anni regola la materia.</w:t>
      </w:r>
    </w:p>
    <w:p w14:paraId="6171E1EC" w14:textId="032CE978" w:rsidR="00DD60A5" w:rsidRDefault="006C3A92" w:rsidP="00DD60A5">
      <w:pPr>
        <w:tabs>
          <w:tab w:val="left" w:pos="7371"/>
          <w:tab w:val="right" w:pos="8080"/>
        </w:tabs>
        <w:rPr>
          <w:rFonts w:cs="Tahoma"/>
          <w:szCs w:val="20"/>
        </w:rPr>
      </w:pPr>
      <w:r w:rsidRPr="006C3A92">
        <w:rPr>
          <w:rFonts w:cs="Tahoma"/>
          <w:szCs w:val="20"/>
        </w:rPr>
        <w:t xml:space="preserve">Attualmente, il sistema è </w:t>
      </w:r>
      <w:r w:rsidR="00DD60A5" w:rsidRPr="00DD60A5">
        <w:rPr>
          <w:rFonts w:cs="Tahoma"/>
          <w:szCs w:val="20"/>
        </w:rPr>
        <w:t>definito</w:t>
      </w:r>
      <w:r w:rsidRPr="006C3A92">
        <w:rPr>
          <w:rFonts w:cs="Tahoma"/>
          <w:szCs w:val="20"/>
        </w:rPr>
        <w:t xml:space="preserve"> in modo tale per cui i frontalieri italiani che risiedono nella fascia di confine vedono il proprio reddito di lavoro dipendente tassato in modo esclusivo in Svizzera; i frontalieri italiani che risiedono in Comuni che distano oltre 20 km</w:t>
      </w:r>
      <w:r w:rsidR="00DD60A5" w:rsidRPr="00DD60A5">
        <w:rPr>
          <w:rFonts w:cs="Tahoma"/>
          <w:szCs w:val="20"/>
        </w:rPr>
        <w:t xml:space="preserve"> </w:t>
      </w:r>
      <w:r w:rsidRPr="006C3A92">
        <w:rPr>
          <w:rFonts w:cs="Tahoma"/>
          <w:szCs w:val="20"/>
        </w:rPr>
        <w:t>dal confine sono, invece, tassati sia in Svizzera, sia in Italia, con diritto alla franchigia di 7.500 euro e credito in Italia per le imposte pagate in Svizzera.</w:t>
      </w:r>
    </w:p>
    <w:p w14:paraId="33B54A49" w14:textId="6C14F489" w:rsidR="006C3A92" w:rsidRPr="006C3A92" w:rsidRDefault="006C3A92" w:rsidP="00EF3806">
      <w:pPr>
        <w:tabs>
          <w:tab w:val="left" w:pos="7371"/>
          <w:tab w:val="right" w:pos="8080"/>
        </w:tabs>
        <w:rPr>
          <w:rFonts w:cs="Tahoma"/>
          <w:szCs w:val="20"/>
        </w:rPr>
      </w:pPr>
      <w:r w:rsidRPr="006C3A92">
        <w:rPr>
          <w:rFonts w:cs="Tahoma"/>
          <w:szCs w:val="20"/>
        </w:rPr>
        <w:t>Questo sistema è destinato a cambiare in modo significativo, prevedendosi, sempre limitatamente ai frontalieri che risiedono nella fascia di confine, un sistema di tassazione concorrente tra i due Stati, con un limite dell’80% all’imposta che risulterebbe ordinariamente dovuta nello Stato in cui viene svolta l’attività (rovesciando l’esempio sopra svolto, a norma dell’art. 8 della legge di ratifica l’IRPEF e le addizionali locali sui redditi dei frontalieri svizzeri che lavorano in Italia sono ridotte del 20%).</w:t>
      </w:r>
    </w:p>
    <w:p w14:paraId="4CEFAD7B" w14:textId="77777777" w:rsidR="006C3A92" w:rsidRPr="006C3A92" w:rsidRDefault="006C3A92" w:rsidP="00EF3806">
      <w:pPr>
        <w:tabs>
          <w:tab w:val="left" w:pos="7371"/>
          <w:tab w:val="right" w:pos="8080"/>
        </w:tabs>
        <w:rPr>
          <w:rFonts w:cs="Tahoma"/>
          <w:szCs w:val="20"/>
        </w:rPr>
      </w:pPr>
      <w:r w:rsidRPr="006C3A92">
        <w:rPr>
          <w:rFonts w:cs="Tahoma"/>
          <w:szCs w:val="20"/>
        </w:rPr>
        <w:lastRenderedPageBreak/>
        <w:t>La stessa legge di ratifica prevede, altresì, disposizioni di carattere meramente interno legate alla tassazione dei frontalieri: ad esempio, l’art. 4 innalza da 7.500 euro a 10.000 euro la franchigia; in assenza di limitazioni espresse da parte del testo di legge, ciò dovrebbe valere non solo nei rapporti con la Svizzera, ma anche per i frontalieri italiani che lavorano in Stati per cui le rispettive Convenzioni con l’Italia prevedono forme di tassazione concorrente (ad esempio, il Trattato con San Marino) o esclusiva in Italia (ad esempio, le Convenzioni con la Francia e con l’Austria).</w:t>
      </w:r>
    </w:p>
    <w:p w14:paraId="21DF3528" w14:textId="60199AE7" w:rsidR="006C3A92" w:rsidRPr="006C3A92" w:rsidRDefault="006C3A92" w:rsidP="00EF3806">
      <w:pPr>
        <w:tabs>
          <w:tab w:val="left" w:pos="7371"/>
          <w:tab w:val="right" w:pos="8080"/>
        </w:tabs>
        <w:rPr>
          <w:rFonts w:cs="Tahoma"/>
          <w:szCs w:val="20"/>
        </w:rPr>
      </w:pPr>
      <w:r w:rsidRPr="006C3A92">
        <w:rPr>
          <w:rFonts w:cs="Tahoma"/>
          <w:szCs w:val="20"/>
        </w:rPr>
        <w:t>Le regole sin qui sintetizzate operano solo per i “nuovi” frontalieri: in virtù del regime</w:t>
      </w:r>
      <w:r w:rsidR="006B336F">
        <w:rPr>
          <w:rFonts w:cs="Tahoma"/>
          <w:szCs w:val="20"/>
        </w:rPr>
        <w:t xml:space="preserve"> </w:t>
      </w:r>
      <w:r w:rsidRPr="006C3A92">
        <w:rPr>
          <w:rFonts w:cs="Tahoma"/>
          <w:szCs w:val="20"/>
        </w:rPr>
        <w:t>transitorio previsto</w:t>
      </w:r>
      <w:r w:rsidR="006B336F">
        <w:rPr>
          <w:rFonts w:cs="Tahoma"/>
          <w:szCs w:val="20"/>
        </w:rPr>
        <w:t xml:space="preserve"> dall’art. 9 dell’Accordo del 23 dicembre 2020</w:t>
      </w:r>
      <w:r w:rsidRPr="006C3A92">
        <w:rPr>
          <w:rFonts w:cs="Tahoma"/>
          <w:szCs w:val="20"/>
        </w:rPr>
        <w:t>, restano imponibili solamente in Svizzera i redditi dei frontalieri italiani che svolgono, alla data di entrata in vigore dell’Accordo o tra il 31 dicembre 2018 e la data di entrata in vigore dell’Accordo, attività di lavoro dipendente nell’area di frontiera svizzera (pur se i due Stati hanno convenuto di reprimere i fenomeni di abuso di tale disposizione di favore).</w:t>
      </w:r>
    </w:p>
    <w:p w14:paraId="0B070179" w14:textId="77777777" w:rsidR="006C3A92" w:rsidRDefault="006C3A92" w:rsidP="00EB5D88">
      <w:pPr>
        <w:tabs>
          <w:tab w:val="left" w:pos="7371"/>
          <w:tab w:val="right" w:pos="8080"/>
        </w:tabs>
        <w:rPr>
          <w:rFonts w:cs="Tahoma"/>
          <w:szCs w:val="20"/>
        </w:rPr>
      </w:pPr>
      <w:r w:rsidRPr="006C3A92">
        <w:rPr>
          <w:rFonts w:cs="Tahoma"/>
          <w:szCs w:val="20"/>
        </w:rPr>
        <w:t>Il nuovo Accordo entra in vigore, a norma del suo art. 8, alla data di ricezione dell’ultima delle notifiche con i quali Italia e Svizzera si danno reciprocamente atto della conclusione dei rispettivi iter di ratifica, e si applica dal 1° gennaio dell’anno civile successivo a quello di entrata in vigore (realisticamente, si tratta del 1° gennaio 2024); anche l’innalzamento a 10.000 euro della franchigia interna segue la stessa tempistica.</w:t>
      </w:r>
    </w:p>
    <w:p w14:paraId="7DFC43F5" w14:textId="125775F8" w:rsidR="00B81AAC" w:rsidRDefault="00B81AAC" w:rsidP="00EB5D88">
      <w:pPr>
        <w:tabs>
          <w:tab w:val="left" w:pos="7371"/>
          <w:tab w:val="right" w:pos="8080"/>
        </w:tabs>
        <w:rPr>
          <w:rFonts w:cs="Tahoma"/>
          <w:szCs w:val="20"/>
        </w:rPr>
      </w:pPr>
      <w:r>
        <w:rPr>
          <w:rFonts w:cs="Tahoma"/>
          <w:szCs w:val="20"/>
        </w:rPr>
        <w:t>Per quanto riguarda gli accordi a regime per lo smart working e la Svizzera, l’Italia e la Svizzera hanno regolato la materia come segue:</w:t>
      </w:r>
    </w:p>
    <w:p w14:paraId="49C17535" w14:textId="7E9E6CCB" w:rsidR="00B81AAC" w:rsidRDefault="006A1630" w:rsidP="00B81AAC">
      <w:pPr>
        <w:pStyle w:val="Paragrafoelenco"/>
        <w:numPr>
          <w:ilvl w:val="0"/>
          <w:numId w:val="84"/>
        </w:numPr>
        <w:tabs>
          <w:tab w:val="left" w:pos="7371"/>
          <w:tab w:val="right" w:pos="8080"/>
        </w:tabs>
        <w:rPr>
          <w:rFonts w:cs="Tahoma"/>
          <w:szCs w:val="20"/>
        </w:rPr>
      </w:pPr>
      <w:r>
        <w:rPr>
          <w:rFonts w:cs="Tahoma"/>
          <w:szCs w:val="20"/>
        </w:rPr>
        <w:t>l</w:t>
      </w:r>
      <w:r w:rsidR="00D51747">
        <w:rPr>
          <w:rFonts w:cs="Tahoma"/>
          <w:szCs w:val="20"/>
        </w:rPr>
        <w:t>’Accordo del 28.11.2023 per il periodo transitorio 1.2.2023-31.12.2023</w:t>
      </w:r>
      <w:r w:rsidR="007F010B">
        <w:rPr>
          <w:rFonts w:cs="Tahoma"/>
          <w:szCs w:val="20"/>
        </w:rPr>
        <w:t xml:space="preserve"> considera i giorni di lavoro svolti da remoto nello Stato di residenza, sino al 40% del tempo di lavoro, come effettuati nell’altro Stato, di modo che la persona non perda lo status di frontaliere anche in assenza dello spostamento quotidiano oltreconfine (per il periodo 1.7.2023-31.12.2023, tuttavia, il beneficio è concesso solo a coloro che, alla data del 31.2.2022, svolgevano l’attività in modalità di telelavoro);</w:t>
      </w:r>
    </w:p>
    <w:p w14:paraId="484E0E5C" w14:textId="77777777" w:rsidR="007214C7" w:rsidRDefault="006A1630" w:rsidP="007214C7">
      <w:pPr>
        <w:pStyle w:val="Paragrafoelenco"/>
        <w:numPr>
          <w:ilvl w:val="0"/>
          <w:numId w:val="84"/>
        </w:numPr>
        <w:tabs>
          <w:tab w:val="left" w:pos="7371"/>
          <w:tab w:val="right" w:pos="8080"/>
        </w:tabs>
        <w:rPr>
          <w:rFonts w:cs="Tahoma"/>
          <w:szCs w:val="20"/>
        </w:rPr>
      </w:pPr>
      <w:r>
        <w:rPr>
          <w:rFonts w:cs="Tahoma"/>
          <w:szCs w:val="20"/>
        </w:rPr>
        <w:t>l</w:t>
      </w:r>
      <w:r w:rsidR="007F010B">
        <w:rPr>
          <w:rFonts w:cs="Tahoma"/>
          <w:szCs w:val="20"/>
        </w:rPr>
        <w:t xml:space="preserve">’Accordo del 28.11.2023 per il periodo </w:t>
      </w:r>
      <w:r w:rsidR="008E1965">
        <w:rPr>
          <w:rFonts w:cs="Tahoma"/>
          <w:szCs w:val="20"/>
        </w:rPr>
        <w:t>transitorio che va dall’1.1.2024 alla data di entrata in vigore dell’Accordo a regime, ma in ogni caso non oltre il 31.12.2025, considera i giorni di lavoro svolti da remoto nello Stato di residenza, sino al 25% del tempo di lavoro, come effettuati nell’altro Stato;</w:t>
      </w:r>
    </w:p>
    <w:p w14:paraId="72AD9197" w14:textId="4C9341BF" w:rsidR="006249E3" w:rsidRPr="007214C7" w:rsidRDefault="006A1630" w:rsidP="007214C7">
      <w:pPr>
        <w:pStyle w:val="Paragrafoelenco"/>
        <w:numPr>
          <w:ilvl w:val="0"/>
          <w:numId w:val="84"/>
        </w:numPr>
        <w:tabs>
          <w:tab w:val="left" w:pos="7371"/>
          <w:tab w:val="right" w:pos="8080"/>
        </w:tabs>
        <w:rPr>
          <w:rFonts w:cs="Tahoma"/>
          <w:szCs w:val="20"/>
        </w:rPr>
      </w:pPr>
      <w:r w:rsidRPr="007214C7">
        <w:rPr>
          <w:rFonts w:cs="Tahoma"/>
          <w:szCs w:val="20"/>
        </w:rPr>
        <w:t xml:space="preserve">i </w:t>
      </w:r>
      <w:r w:rsidR="008E1965" w:rsidRPr="007214C7">
        <w:rPr>
          <w:rFonts w:cs="Tahoma"/>
          <w:szCs w:val="20"/>
        </w:rPr>
        <w:t xml:space="preserve">due Stati dovranno siglare entro il 31.5.2024 un Accordo a regime </w:t>
      </w:r>
      <w:r w:rsidR="0001641B" w:rsidRPr="007214C7">
        <w:rPr>
          <w:rFonts w:cs="Tahoma"/>
          <w:szCs w:val="20"/>
        </w:rPr>
        <w:t>per regolare la materia.</w:t>
      </w:r>
    </w:p>
    <w:p w14:paraId="5B3E7ABE" w14:textId="77777777" w:rsidR="00E873AF" w:rsidRDefault="00E873AF" w:rsidP="00186726">
      <w:pPr>
        <w:pStyle w:val="NUOVOSOTTOPARAGRAFO"/>
        <w:rPr>
          <w:rFonts w:cs="Tahoma"/>
        </w:rPr>
      </w:pPr>
      <w:bookmarkStart w:id="41" w:name="_Toc161933130"/>
    </w:p>
    <w:p w14:paraId="190D10A5" w14:textId="4146FC01" w:rsidR="008D15F0" w:rsidRPr="00305AEB" w:rsidRDefault="008D15F0" w:rsidP="00186726">
      <w:pPr>
        <w:pStyle w:val="NUOVOSOTTOPARAGRAFO"/>
        <w:rPr>
          <w:rFonts w:cs="Tahoma"/>
        </w:rPr>
      </w:pPr>
      <w:r w:rsidRPr="00305AEB">
        <w:rPr>
          <w:rFonts w:cs="Tahoma"/>
        </w:rPr>
        <w:t>2.1.</w:t>
      </w:r>
      <w:r w:rsidR="00C060FA">
        <w:rPr>
          <w:rFonts w:cs="Tahoma"/>
        </w:rPr>
        <w:t>4</w:t>
      </w:r>
      <w:r w:rsidRPr="00305AEB">
        <w:rPr>
          <w:rFonts w:cs="Tahoma"/>
        </w:rPr>
        <w:t xml:space="preserve"> Le retribuzioni convenzionali</w:t>
      </w:r>
      <w:bookmarkEnd w:id="41"/>
    </w:p>
    <w:p w14:paraId="25444B81" w14:textId="77777777" w:rsidR="008D15F0" w:rsidRPr="00305AEB" w:rsidRDefault="008D15F0" w:rsidP="00F52714">
      <w:pPr>
        <w:tabs>
          <w:tab w:val="left" w:pos="7371"/>
          <w:tab w:val="right" w:pos="8080"/>
        </w:tabs>
        <w:spacing w:line="336" w:lineRule="auto"/>
        <w:rPr>
          <w:rFonts w:cs="Tahoma"/>
          <w:szCs w:val="20"/>
        </w:rPr>
      </w:pPr>
      <w:r w:rsidRPr="00305AEB">
        <w:rPr>
          <w:rFonts w:cs="Tahoma"/>
          <w:szCs w:val="20"/>
        </w:rPr>
        <w:t xml:space="preserve">L’art. 36, comma 1 della L. n. 342 del 2000 ha inserito il comma 8-bis dell’art. 51 del TUIR. Tale comma dispone che il reddito di lavoro dipendente derivante dall’attività prestata all’estero, in via continuativa e come oggetto esclusivo del rapporto di lavoro, da soggetti che soggiornano all’estero per un periodo </w:t>
      </w:r>
      <w:r w:rsidRPr="00305AEB">
        <w:rPr>
          <w:rFonts w:cs="Tahoma"/>
          <w:szCs w:val="20"/>
        </w:rPr>
        <w:lastRenderedPageBreak/>
        <w:t>superiore a 183 giorni nell’arco di dodici mesi, è determinato forfettariamente sulla base delle retribuzioni convenzionali definite annualmente con il decreto del Ministro del Lavoro e delle Politiche sociali di cui all’art. 4 comma 1 del D.L. n. 317 del 1987.</w:t>
      </w:r>
    </w:p>
    <w:p w14:paraId="48116B3B" w14:textId="0A26289C" w:rsidR="008D15F0" w:rsidRPr="00305AEB" w:rsidRDefault="008D15F0" w:rsidP="00F52714">
      <w:pPr>
        <w:tabs>
          <w:tab w:val="left" w:pos="7371"/>
          <w:tab w:val="right" w:pos="8080"/>
        </w:tabs>
        <w:spacing w:line="336" w:lineRule="auto"/>
        <w:rPr>
          <w:rFonts w:cs="Tahoma"/>
          <w:szCs w:val="20"/>
        </w:rPr>
      </w:pPr>
      <w:r w:rsidRPr="00305AEB">
        <w:rPr>
          <w:rFonts w:cs="Tahoma"/>
          <w:szCs w:val="20"/>
        </w:rPr>
        <w:t>In questo caso, la norma consente di assumere quale base imponibile non le somme e i valori effettivamente percepiti, bensì alcuni importi determinati in modo forfettario in base al settore di attività. A tali fini, il contratto di lavoro deve specificare in modo espresso l’esecuzione della prestazione all’estero e il lavoratore deve essere collocato in uno speciale ruolo estero. Si tende ad ammettere la tassazione con le retribuzioni convenzionali anche nel caso di distacco. </w:t>
      </w:r>
    </w:p>
    <w:p w14:paraId="5F4B8854" w14:textId="77777777" w:rsidR="008D15F0" w:rsidRPr="00305AEB" w:rsidRDefault="008D15F0" w:rsidP="00F52714">
      <w:pPr>
        <w:tabs>
          <w:tab w:val="left" w:pos="7371"/>
          <w:tab w:val="right" w:pos="8080"/>
        </w:tabs>
        <w:spacing w:line="336" w:lineRule="auto"/>
        <w:rPr>
          <w:rFonts w:cs="Tahoma"/>
          <w:szCs w:val="20"/>
        </w:rPr>
      </w:pPr>
      <w:r w:rsidRPr="00305AEB">
        <w:rPr>
          <w:rFonts w:cs="Tahoma"/>
          <w:szCs w:val="20"/>
        </w:rPr>
        <w:t xml:space="preserve">Si tenga presente </w:t>
      </w:r>
      <w:proofErr w:type="gramStart"/>
      <w:r w:rsidRPr="00305AEB">
        <w:rPr>
          <w:rFonts w:cs="Tahoma"/>
          <w:szCs w:val="20"/>
        </w:rPr>
        <w:t>che</w:t>
      </w:r>
      <w:proofErr w:type="gramEnd"/>
      <w:r w:rsidRPr="00305AEB">
        <w:rPr>
          <w:rFonts w:cs="Tahoma"/>
          <w:szCs w:val="20"/>
        </w:rPr>
        <w:t xml:space="preserve"> qualora le retribuzioni convenzionali dovessero superare quelle effettive, non sarebbe possibile assoggettare a tassazione il reddito effettivamente prodotto.</w:t>
      </w:r>
    </w:p>
    <w:p w14:paraId="6FB9ECCF" w14:textId="77777777" w:rsidR="008D15F0" w:rsidRPr="00305AEB" w:rsidRDefault="008D15F0" w:rsidP="00F52714">
      <w:pPr>
        <w:tabs>
          <w:tab w:val="left" w:pos="7371"/>
          <w:tab w:val="right" w:pos="8080"/>
        </w:tabs>
        <w:spacing w:line="336" w:lineRule="auto"/>
        <w:rPr>
          <w:rFonts w:cs="Tahoma"/>
          <w:szCs w:val="20"/>
        </w:rPr>
      </w:pPr>
      <w:r w:rsidRPr="00305AEB">
        <w:rPr>
          <w:rFonts w:cs="Tahoma"/>
          <w:szCs w:val="20"/>
        </w:rPr>
        <w:t xml:space="preserve">Per quanto riguarda il </w:t>
      </w:r>
      <w:r w:rsidRPr="00305AEB">
        <w:rPr>
          <w:rFonts w:cs="Tahoma"/>
          <w:b/>
          <w:szCs w:val="20"/>
        </w:rPr>
        <w:t>requisito della “</w:t>
      </w:r>
      <w:proofErr w:type="spellStart"/>
      <w:r w:rsidRPr="00305AEB">
        <w:rPr>
          <w:rFonts w:cs="Tahoma"/>
          <w:b/>
          <w:szCs w:val="20"/>
        </w:rPr>
        <w:t>continuatività</w:t>
      </w:r>
      <w:proofErr w:type="spellEnd"/>
      <w:r w:rsidRPr="00305AEB">
        <w:rPr>
          <w:rFonts w:cs="Tahoma"/>
          <w:b/>
          <w:szCs w:val="20"/>
        </w:rPr>
        <w:t>” e della “esclusività”</w:t>
      </w:r>
      <w:r w:rsidRPr="00305AEB">
        <w:rPr>
          <w:rFonts w:cs="Tahoma"/>
          <w:szCs w:val="20"/>
        </w:rPr>
        <w:t xml:space="preserve"> è stato precisato:</w:t>
      </w:r>
    </w:p>
    <w:p w14:paraId="4ABEA96D" w14:textId="0329068D" w:rsidR="008D15F0" w:rsidRPr="00305AEB" w:rsidRDefault="00583F22" w:rsidP="00F52714">
      <w:pPr>
        <w:pStyle w:val="Paragrafoelenco"/>
        <w:numPr>
          <w:ilvl w:val="0"/>
          <w:numId w:val="18"/>
        </w:numPr>
        <w:tabs>
          <w:tab w:val="left" w:pos="7371"/>
          <w:tab w:val="right" w:pos="8080"/>
        </w:tabs>
        <w:spacing w:line="336" w:lineRule="auto"/>
        <w:rPr>
          <w:rFonts w:cs="Tahoma"/>
          <w:szCs w:val="20"/>
        </w:rPr>
      </w:pPr>
      <w:r>
        <w:rPr>
          <w:rFonts w:cs="Tahoma"/>
          <w:szCs w:val="20"/>
        </w:rPr>
        <w:t>c</w:t>
      </w:r>
      <w:r w:rsidRPr="00305AEB">
        <w:rPr>
          <w:rFonts w:cs="Tahoma"/>
          <w:szCs w:val="20"/>
        </w:rPr>
        <w:t xml:space="preserve">he </w:t>
      </w:r>
      <w:r w:rsidR="008D15F0" w:rsidRPr="00305AEB">
        <w:rPr>
          <w:rFonts w:cs="Tahoma"/>
          <w:szCs w:val="20"/>
        </w:rPr>
        <w:t>il contratto di lavoro deve prevedere la prestazione in via esclusiva del lavoro all’estero, con conseguente esclusione dei dipendenti in trasferta (C.M. n. 207/E del 2000);</w:t>
      </w:r>
    </w:p>
    <w:p w14:paraId="0F76878D" w14:textId="57ECFB94" w:rsidR="008D15F0" w:rsidRPr="00305AEB" w:rsidRDefault="00583F22" w:rsidP="00F52714">
      <w:pPr>
        <w:pStyle w:val="Paragrafoelenco"/>
        <w:numPr>
          <w:ilvl w:val="0"/>
          <w:numId w:val="18"/>
        </w:numPr>
        <w:tabs>
          <w:tab w:val="left" w:pos="7371"/>
          <w:tab w:val="right" w:pos="8080"/>
        </w:tabs>
        <w:spacing w:line="336" w:lineRule="auto"/>
        <w:rPr>
          <w:rFonts w:cs="Tahoma"/>
          <w:szCs w:val="20"/>
        </w:rPr>
      </w:pPr>
      <w:r>
        <w:rPr>
          <w:rFonts w:cs="Tahoma"/>
          <w:szCs w:val="20"/>
        </w:rPr>
        <w:t>c</w:t>
      </w:r>
      <w:r w:rsidR="008D15F0" w:rsidRPr="00305AEB">
        <w:rPr>
          <w:rFonts w:cs="Tahoma"/>
          <w:szCs w:val="20"/>
        </w:rPr>
        <w:t>he la prestazione lavorativa deve materialmente essere svolta integralmente all’estero (R.M. n. 245/E del 2007);</w:t>
      </w:r>
    </w:p>
    <w:p w14:paraId="513AF49A" w14:textId="397C4AFD" w:rsidR="008D15F0" w:rsidRPr="00305AEB" w:rsidRDefault="00583F22" w:rsidP="00F52714">
      <w:pPr>
        <w:pStyle w:val="Paragrafoelenco"/>
        <w:numPr>
          <w:ilvl w:val="0"/>
          <w:numId w:val="18"/>
        </w:numPr>
        <w:tabs>
          <w:tab w:val="left" w:pos="7371"/>
          <w:tab w:val="right" w:pos="8080"/>
        </w:tabs>
        <w:spacing w:line="336" w:lineRule="auto"/>
        <w:rPr>
          <w:rFonts w:cs="Tahoma"/>
          <w:szCs w:val="20"/>
        </w:rPr>
      </w:pPr>
      <w:r>
        <w:rPr>
          <w:rFonts w:cs="Tahoma"/>
          <w:szCs w:val="20"/>
        </w:rPr>
        <w:t>c</w:t>
      </w:r>
      <w:r w:rsidR="008D15F0" w:rsidRPr="00305AEB">
        <w:rPr>
          <w:rFonts w:cs="Tahoma"/>
          <w:szCs w:val="20"/>
        </w:rPr>
        <w:t>he il regime in esame può trovare applicazione anche se il datore di lavoro è estero (C.M. n. 11/E del 2014).</w:t>
      </w:r>
    </w:p>
    <w:p w14:paraId="5DC6A39E" w14:textId="77777777" w:rsidR="008D15F0" w:rsidRPr="00305AEB" w:rsidRDefault="008D15F0" w:rsidP="00F52714">
      <w:pPr>
        <w:tabs>
          <w:tab w:val="left" w:pos="7371"/>
          <w:tab w:val="right" w:pos="8080"/>
        </w:tabs>
        <w:spacing w:line="336" w:lineRule="auto"/>
        <w:rPr>
          <w:rFonts w:cs="Tahoma"/>
          <w:szCs w:val="20"/>
        </w:rPr>
      </w:pPr>
      <w:r w:rsidRPr="00305AEB">
        <w:rPr>
          <w:rFonts w:cs="Tahoma"/>
          <w:szCs w:val="20"/>
        </w:rPr>
        <w:t xml:space="preserve">Per quanto riguarda invece il </w:t>
      </w:r>
      <w:r w:rsidRPr="00305AEB">
        <w:rPr>
          <w:rFonts w:cs="Tahoma"/>
          <w:b/>
          <w:szCs w:val="20"/>
        </w:rPr>
        <w:t>computo della permanenza all’estero</w:t>
      </w:r>
      <w:r w:rsidRPr="00305AEB">
        <w:rPr>
          <w:rFonts w:cs="Tahoma"/>
          <w:szCs w:val="20"/>
        </w:rPr>
        <w:t xml:space="preserve"> si fa presente che i giorni di permanenza all’estero possono essere anche non continuativi (C.M. n. 207/E del 2000). Così come è stato detto, si tiene conto di un periodo di 12 mesi. Secondo la C.M. n. 9/E del 2001, in caso di superamento del limite per un soggiorno a cavallo di due anni solari, l’agevolazione spetta per entrambi.</w:t>
      </w:r>
    </w:p>
    <w:p w14:paraId="287FBEEA" w14:textId="77777777" w:rsidR="008D15F0" w:rsidRPr="00305AEB" w:rsidRDefault="008D15F0" w:rsidP="00F52714">
      <w:pPr>
        <w:tabs>
          <w:tab w:val="left" w:pos="7371"/>
          <w:tab w:val="right" w:pos="8080"/>
        </w:tabs>
        <w:spacing w:line="336" w:lineRule="auto"/>
        <w:rPr>
          <w:rFonts w:cs="Tahoma"/>
          <w:szCs w:val="20"/>
        </w:rPr>
      </w:pPr>
      <w:r w:rsidRPr="00305AEB">
        <w:rPr>
          <w:rFonts w:cs="Tahoma"/>
          <w:szCs w:val="20"/>
        </w:rPr>
        <w:t>Le retribuzioni convenzionali sono determinate con appositi DM. Per le ultime annualità esse si rinvengono:</w:t>
      </w:r>
    </w:p>
    <w:p w14:paraId="7290ACC8" w14:textId="77777777" w:rsidR="008D15F0" w:rsidRPr="00305AEB" w:rsidRDefault="008D15F0" w:rsidP="00F52714">
      <w:pPr>
        <w:pStyle w:val="Paragrafoelenco"/>
        <w:numPr>
          <w:ilvl w:val="0"/>
          <w:numId w:val="19"/>
        </w:numPr>
        <w:tabs>
          <w:tab w:val="left" w:pos="7371"/>
          <w:tab w:val="right" w:pos="8080"/>
        </w:tabs>
        <w:spacing w:line="336" w:lineRule="auto"/>
        <w:rPr>
          <w:rFonts w:cs="Tahoma"/>
          <w:szCs w:val="20"/>
        </w:rPr>
      </w:pPr>
      <w:r w:rsidRPr="00305AEB">
        <w:rPr>
          <w:rFonts w:cs="Tahoma"/>
          <w:szCs w:val="20"/>
        </w:rPr>
        <w:t>Per il 2019, nel DM 21.12.2018;</w:t>
      </w:r>
    </w:p>
    <w:p w14:paraId="33416C9E" w14:textId="3EBC904F" w:rsidR="008D15F0" w:rsidRPr="00305AEB" w:rsidRDefault="008D15F0" w:rsidP="00F52714">
      <w:pPr>
        <w:pStyle w:val="Paragrafoelenco"/>
        <w:numPr>
          <w:ilvl w:val="0"/>
          <w:numId w:val="19"/>
        </w:numPr>
        <w:tabs>
          <w:tab w:val="left" w:pos="7371"/>
          <w:tab w:val="right" w:pos="8080"/>
        </w:tabs>
        <w:spacing w:line="336" w:lineRule="auto"/>
        <w:rPr>
          <w:rFonts w:cs="Tahoma"/>
          <w:szCs w:val="20"/>
        </w:rPr>
      </w:pPr>
      <w:r w:rsidRPr="00305AEB">
        <w:rPr>
          <w:rFonts w:cs="Tahoma"/>
          <w:szCs w:val="20"/>
        </w:rPr>
        <w:t>Per il 2020, nel DM 11.12.2019</w:t>
      </w:r>
      <w:r w:rsidR="009C3E37" w:rsidRPr="00305AEB">
        <w:rPr>
          <w:rFonts w:cs="Tahoma"/>
          <w:szCs w:val="20"/>
        </w:rPr>
        <w:t>;</w:t>
      </w:r>
    </w:p>
    <w:p w14:paraId="62F90ABA" w14:textId="7CEED744" w:rsidR="009C3E37" w:rsidRPr="00305AEB" w:rsidRDefault="009C3E37" w:rsidP="00F52714">
      <w:pPr>
        <w:pStyle w:val="Paragrafoelenco"/>
        <w:numPr>
          <w:ilvl w:val="0"/>
          <w:numId w:val="19"/>
        </w:numPr>
        <w:tabs>
          <w:tab w:val="left" w:pos="7371"/>
          <w:tab w:val="right" w:pos="8080"/>
        </w:tabs>
        <w:spacing w:line="336" w:lineRule="auto"/>
        <w:rPr>
          <w:rFonts w:cs="Tahoma"/>
          <w:szCs w:val="20"/>
        </w:rPr>
      </w:pPr>
      <w:r w:rsidRPr="00305AEB">
        <w:rPr>
          <w:rFonts w:cs="Tahoma"/>
          <w:szCs w:val="20"/>
        </w:rPr>
        <w:t>Per il 2021, nel DM 23.3.2021;</w:t>
      </w:r>
    </w:p>
    <w:p w14:paraId="6C64C2C6" w14:textId="3B971990" w:rsidR="009C3E37" w:rsidRPr="00305AEB" w:rsidRDefault="009C3E37" w:rsidP="00F52714">
      <w:pPr>
        <w:pStyle w:val="Paragrafoelenco"/>
        <w:numPr>
          <w:ilvl w:val="0"/>
          <w:numId w:val="19"/>
        </w:numPr>
        <w:tabs>
          <w:tab w:val="left" w:pos="7371"/>
          <w:tab w:val="right" w:pos="8080"/>
        </w:tabs>
        <w:spacing w:line="336" w:lineRule="auto"/>
        <w:rPr>
          <w:rFonts w:cs="Tahoma"/>
          <w:szCs w:val="20"/>
        </w:rPr>
      </w:pPr>
      <w:r w:rsidRPr="00305AEB">
        <w:rPr>
          <w:rFonts w:cs="Tahoma"/>
          <w:szCs w:val="20"/>
        </w:rPr>
        <w:t>Per il 2022, nel DM 23.12.2021</w:t>
      </w:r>
      <w:r w:rsidR="00B63A21" w:rsidRPr="00305AEB">
        <w:rPr>
          <w:rFonts w:cs="Tahoma"/>
          <w:szCs w:val="20"/>
        </w:rPr>
        <w:t>;</w:t>
      </w:r>
    </w:p>
    <w:p w14:paraId="6FF0BBE4" w14:textId="1F93D622" w:rsidR="008D15F0" w:rsidRDefault="00B63A21" w:rsidP="00F52714">
      <w:pPr>
        <w:pStyle w:val="Paragrafoelenco"/>
        <w:numPr>
          <w:ilvl w:val="0"/>
          <w:numId w:val="19"/>
        </w:numPr>
        <w:tabs>
          <w:tab w:val="left" w:pos="7371"/>
          <w:tab w:val="right" w:pos="8080"/>
        </w:tabs>
        <w:spacing w:line="336" w:lineRule="auto"/>
        <w:rPr>
          <w:rFonts w:cs="Tahoma"/>
          <w:szCs w:val="20"/>
        </w:rPr>
      </w:pPr>
      <w:r w:rsidRPr="004D65E7">
        <w:rPr>
          <w:rFonts w:cs="Tahoma"/>
          <w:szCs w:val="20"/>
        </w:rPr>
        <w:t>Per il 2023, nel DM 28.2.2023</w:t>
      </w:r>
      <w:r w:rsidR="000E0AAB">
        <w:rPr>
          <w:rFonts w:cs="Tahoma"/>
          <w:szCs w:val="20"/>
        </w:rPr>
        <w:t>;</w:t>
      </w:r>
    </w:p>
    <w:p w14:paraId="1CAB7913" w14:textId="3218CE4E" w:rsidR="000E0AAB" w:rsidRPr="004D65E7" w:rsidRDefault="000E0AAB" w:rsidP="000F7D8F">
      <w:pPr>
        <w:pStyle w:val="Paragrafoelenco"/>
        <w:numPr>
          <w:ilvl w:val="0"/>
          <w:numId w:val="19"/>
        </w:numPr>
        <w:tabs>
          <w:tab w:val="left" w:pos="7371"/>
          <w:tab w:val="right" w:pos="8080"/>
        </w:tabs>
        <w:rPr>
          <w:rFonts w:cs="Tahoma"/>
          <w:szCs w:val="20"/>
        </w:rPr>
      </w:pPr>
      <w:r>
        <w:rPr>
          <w:rFonts w:cs="Tahoma"/>
          <w:szCs w:val="20"/>
        </w:rPr>
        <w:t xml:space="preserve">Per il 2024, nel DM </w:t>
      </w:r>
      <w:r w:rsidR="00EB7BB2">
        <w:rPr>
          <w:rFonts w:cs="Tahoma"/>
          <w:szCs w:val="20"/>
        </w:rPr>
        <w:t>6</w:t>
      </w:r>
      <w:r>
        <w:rPr>
          <w:rFonts w:cs="Tahoma"/>
          <w:szCs w:val="20"/>
        </w:rPr>
        <w:t>.</w:t>
      </w:r>
      <w:r w:rsidR="00EB7BB2">
        <w:rPr>
          <w:rFonts w:cs="Tahoma"/>
          <w:szCs w:val="20"/>
        </w:rPr>
        <w:t>3</w:t>
      </w:r>
      <w:r>
        <w:rPr>
          <w:rFonts w:cs="Tahoma"/>
          <w:szCs w:val="20"/>
        </w:rPr>
        <w:t>.3024.</w:t>
      </w:r>
    </w:p>
    <w:p w14:paraId="01651983" w14:textId="77777777" w:rsidR="008D15F0" w:rsidRPr="00305AEB" w:rsidRDefault="008D15F0" w:rsidP="00186726">
      <w:pPr>
        <w:tabs>
          <w:tab w:val="left" w:pos="7371"/>
          <w:tab w:val="right" w:pos="8080"/>
        </w:tabs>
        <w:rPr>
          <w:rFonts w:cs="Tahoma"/>
          <w:szCs w:val="20"/>
        </w:rPr>
      </w:pPr>
      <w:r w:rsidRPr="00305AEB">
        <w:rPr>
          <w:rFonts w:cs="Tahoma"/>
          <w:szCs w:val="20"/>
        </w:rPr>
        <w:t>Secondo la C.M. n. 7/E del 2001, se sono corrisposte retribuzioni prima dell'emanazione del DM di competenza occorre fare riferimento al DM approvato per l'anno precedente, salvo conguaglio. </w:t>
      </w:r>
    </w:p>
    <w:p w14:paraId="1E90577C" w14:textId="77777777" w:rsidR="008D15F0" w:rsidRPr="00305AEB" w:rsidRDefault="008D15F0" w:rsidP="00186726">
      <w:pPr>
        <w:tabs>
          <w:tab w:val="left" w:pos="7371"/>
          <w:tab w:val="right" w:pos="8080"/>
        </w:tabs>
        <w:rPr>
          <w:rFonts w:cs="Tahoma"/>
          <w:szCs w:val="20"/>
        </w:rPr>
      </w:pPr>
      <w:r w:rsidRPr="00305AEB">
        <w:rPr>
          <w:rFonts w:cs="Tahoma"/>
          <w:szCs w:val="20"/>
        </w:rPr>
        <w:lastRenderedPageBreak/>
        <w:t xml:space="preserve">Le retribuzioni sono contenute in apposite tabelle allegate ai DM, determinate in base ai settori produttivi (es. industria, edilizia, spettacolo, autotrasporto, ecc.), in cui </w:t>
      </w:r>
      <w:proofErr w:type="gramStart"/>
      <w:r w:rsidRPr="00305AEB">
        <w:rPr>
          <w:rFonts w:cs="Tahoma"/>
          <w:szCs w:val="20"/>
        </w:rPr>
        <w:t>la retribuzioni</w:t>
      </w:r>
      <w:proofErr w:type="gramEnd"/>
      <w:r w:rsidRPr="00305AEB">
        <w:rPr>
          <w:rFonts w:cs="Tahoma"/>
          <w:szCs w:val="20"/>
        </w:rPr>
        <w:t xml:space="preserve"> sono fissate a seconda delle qualifiche (es. operai impiegati) e delle fasce retributive (es. secondo livello, terzo livello, ecc.). </w:t>
      </w:r>
    </w:p>
    <w:p w14:paraId="2278FFEC" w14:textId="77777777" w:rsidR="008D15F0" w:rsidRPr="00305AEB" w:rsidRDefault="008D15F0" w:rsidP="00186726">
      <w:pPr>
        <w:tabs>
          <w:tab w:val="left" w:pos="7371"/>
          <w:tab w:val="right" w:pos="8080"/>
        </w:tabs>
        <w:rPr>
          <w:rFonts w:cs="Tahoma"/>
          <w:szCs w:val="20"/>
        </w:rPr>
      </w:pPr>
      <w:r w:rsidRPr="00305AEB">
        <w:rPr>
          <w:rFonts w:cs="Tahoma"/>
          <w:szCs w:val="20"/>
        </w:rPr>
        <w:t>Trattasi di un'impostazione che talvolta crea qualche difficoltà pratica, in quanto spesso l'inquadramento contrattuale estero non prevede categorie paragonabili a quelle della contrattazione collettiva italiana, per cui spesso occorre un "adattamento" alla figura più prossima. </w:t>
      </w:r>
    </w:p>
    <w:p w14:paraId="16FED7D7" w14:textId="77777777" w:rsidR="008D15F0" w:rsidRPr="00305AEB" w:rsidRDefault="008D15F0" w:rsidP="00186726">
      <w:pPr>
        <w:tabs>
          <w:tab w:val="left" w:pos="7371"/>
          <w:tab w:val="right" w:pos="8080"/>
        </w:tabs>
        <w:rPr>
          <w:rFonts w:cs="Tahoma"/>
          <w:szCs w:val="20"/>
        </w:rPr>
      </w:pPr>
      <w:r w:rsidRPr="00305AEB">
        <w:rPr>
          <w:rFonts w:cs="Tahoma"/>
          <w:szCs w:val="20"/>
        </w:rPr>
        <w:t>La mancata previsione del decreto ministeriale del settore economico nel quale viene svolta l’attività da parte del dipendente costituisce motivo ostativo all’applicazione del regime di cui all’art. 51, comma 8-bis del TUIR.</w:t>
      </w:r>
    </w:p>
    <w:p w14:paraId="2DBDEF2A" w14:textId="77777777" w:rsidR="007630E9" w:rsidRPr="00305AEB" w:rsidRDefault="007630E9" w:rsidP="00186726">
      <w:pPr>
        <w:pStyle w:val="NUOVOSOTTOPARAGRAFO"/>
        <w:rPr>
          <w:rFonts w:cs="Tahoma"/>
        </w:rPr>
      </w:pPr>
    </w:p>
    <w:p w14:paraId="713B4ADE" w14:textId="338DDCEB" w:rsidR="00A65489" w:rsidRPr="00305AEB" w:rsidRDefault="0012065F" w:rsidP="00186726">
      <w:pPr>
        <w:pStyle w:val="NUOVOSOTTOPARAGRAFO"/>
        <w:rPr>
          <w:rFonts w:cs="Tahoma"/>
        </w:rPr>
      </w:pPr>
      <w:bookmarkStart w:id="42" w:name="_Toc161933131"/>
      <w:r w:rsidRPr="00305AEB">
        <w:rPr>
          <w:rFonts w:cs="Tahoma"/>
        </w:rPr>
        <w:t>2.1.</w:t>
      </w:r>
      <w:r w:rsidR="00C060FA">
        <w:rPr>
          <w:rFonts w:cs="Tahoma"/>
        </w:rPr>
        <w:t>5</w:t>
      </w:r>
      <w:r w:rsidR="00A65489" w:rsidRPr="00305AEB">
        <w:rPr>
          <w:rFonts w:cs="Tahoma"/>
        </w:rPr>
        <w:t xml:space="preserve"> </w:t>
      </w:r>
      <w:r w:rsidR="00763579" w:rsidRPr="00305AEB">
        <w:rPr>
          <w:rFonts w:cs="Tahoma"/>
        </w:rPr>
        <w:t>Addizionale del 10% per i dirigenti del settore finanziario</w:t>
      </w:r>
      <w:bookmarkEnd w:id="42"/>
    </w:p>
    <w:p w14:paraId="0AB42C19" w14:textId="0190EA6C" w:rsidR="00A65489" w:rsidRPr="00305AEB" w:rsidRDefault="00A65489" w:rsidP="00186726">
      <w:pPr>
        <w:tabs>
          <w:tab w:val="left" w:pos="7371"/>
          <w:tab w:val="right" w:pos="8080"/>
        </w:tabs>
        <w:rPr>
          <w:rFonts w:cs="Tahoma"/>
          <w:szCs w:val="20"/>
        </w:rPr>
      </w:pPr>
      <w:r w:rsidRPr="00305AEB">
        <w:rPr>
          <w:rFonts w:cs="Tahoma"/>
          <w:szCs w:val="20"/>
        </w:rPr>
        <w:t xml:space="preserve">L’art. </w:t>
      </w:r>
      <w:r w:rsidR="007604F5" w:rsidRPr="00305AEB">
        <w:rPr>
          <w:rFonts w:cs="Tahoma"/>
          <w:szCs w:val="20"/>
        </w:rPr>
        <w:t>33 del D.L. n. 78 del 2010, prevede l’applicazione di una aliquota addizionale</w:t>
      </w:r>
      <w:r w:rsidR="00CE02BF" w:rsidRPr="00305AEB">
        <w:rPr>
          <w:rFonts w:cs="Tahoma"/>
          <w:szCs w:val="20"/>
        </w:rPr>
        <w:t xml:space="preserve"> del 10% sui compensi variabili corrisposti sotto forma di bonus e stock option:</w:t>
      </w:r>
    </w:p>
    <w:p w14:paraId="7ECF1384" w14:textId="4809F7CE" w:rsidR="00930CB7" w:rsidRPr="00305AEB" w:rsidRDefault="00930CB7" w:rsidP="00186726">
      <w:pPr>
        <w:pStyle w:val="Paragrafoelenco"/>
        <w:numPr>
          <w:ilvl w:val="0"/>
          <w:numId w:val="69"/>
        </w:numPr>
        <w:tabs>
          <w:tab w:val="left" w:pos="7371"/>
          <w:tab w:val="right" w:pos="8080"/>
        </w:tabs>
        <w:rPr>
          <w:rFonts w:cs="Tahoma"/>
          <w:szCs w:val="20"/>
        </w:rPr>
      </w:pPr>
      <w:r w:rsidRPr="00305AEB">
        <w:rPr>
          <w:rFonts w:cs="Tahoma"/>
          <w:szCs w:val="20"/>
        </w:rPr>
        <w:t>Ai dipendenti che rivestono la qualifica di dirigenti nel settore finanziario;</w:t>
      </w:r>
    </w:p>
    <w:p w14:paraId="2C1BF81B" w14:textId="08488E71" w:rsidR="00930CB7" w:rsidRPr="00305AEB" w:rsidRDefault="00930CB7" w:rsidP="00186726">
      <w:pPr>
        <w:pStyle w:val="Paragrafoelenco"/>
        <w:numPr>
          <w:ilvl w:val="0"/>
          <w:numId w:val="69"/>
        </w:numPr>
        <w:tabs>
          <w:tab w:val="left" w:pos="7371"/>
          <w:tab w:val="right" w:pos="8080"/>
        </w:tabs>
        <w:rPr>
          <w:rFonts w:cs="Tahoma"/>
          <w:szCs w:val="20"/>
        </w:rPr>
      </w:pPr>
      <w:r w:rsidRPr="00305AEB">
        <w:rPr>
          <w:rFonts w:cs="Tahoma"/>
          <w:szCs w:val="20"/>
        </w:rPr>
        <w:t>Che eccedono la parte fissa della retribuzione.</w:t>
      </w:r>
    </w:p>
    <w:p w14:paraId="79D3B205" w14:textId="5E18A029" w:rsidR="00CE7230" w:rsidRPr="00305AEB" w:rsidRDefault="00CE7230" w:rsidP="00186726">
      <w:pPr>
        <w:tabs>
          <w:tab w:val="left" w:pos="7371"/>
          <w:tab w:val="right" w:pos="8080"/>
        </w:tabs>
        <w:rPr>
          <w:rFonts w:cs="Tahoma"/>
          <w:szCs w:val="20"/>
        </w:rPr>
      </w:pPr>
      <w:r w:rsidRPr="00305AEB">
        <w:rPr>
          <w:rFonts w:cs="Tahoma"/>
          <w:szCs w:val="20"/>
        </w:rPr>
        <w:t xml:space="preserve">Secondo la C.M. n. 4/E del 2011, se il datore di lavoro è una società estera, non tenuta agli obblighi di sostituzione di imposta in Italia, è il dipendente </w:t>
      </w:r>
      <w:r w:rsidR="00A832C9" w:rsidRPr="00305AEB">
        <w:rPr>
          <w:rFonts w:cs="Tahoma"/>
          <w:szCs w:val="20"/>
        </w:rPr>
        <w:t>residente che deve determinare e versare l’addizionale del 10%, con le medesime modalità di versamento dell’IRPEF.</w:t>
      </w:r>
    </w:p>
    <w:p w14:paraId="2A88D323" w14:textId="25355780" w:rsidR="00A832C9" w:rsidRPr="00305AEB" w:rsidRDefault="00A832C9" w:rsidP="00186726">
      <w:pPr>
        <w:tabs>
          <w:tab w:val="left" w:pos="7371"/>
          <w:tab w:val="right" w:pos="8080"/>
        </w:tabs>
        <w:rPr>
          <w:rFonts w:cs="Tahoma"/>
          <w:szCs w:val="20"/>
        </w:rPr>
      </w:pPr>
      <w:r w:rsidRPr="00305AEB">
        <w:rPr>
          <w:rFonts w:cs="Tahoma"/>
          <w:szCs w:val="20"/>
        </w:rPr>
        <w:t>A tal fine, dovrà essere compilata la sezione XIV del quadro RM del modello REDDITI PF.</w:t>
      </w:r>
      <w:r w:rsidR="00884454" w:rsidRPr="00305AEB">
        <w:rPr>
          <w:rFonts w:cs="Tahoma"/>
          <w:szCs w:val="20"/>
        </w:rPr>
        <w:t xml:space="preserve"> Si tenga presente </w:t>
      </w:r>
      <w:proofErr w:type="gramStart"/>
      <w:r w:rsidR="00884454" w:rsidRPr="00305AEB">
        <w:rPr>
          <w:rFonts w:cs="Tahoma"/>
          <w:szCs w:val="20"/>
        </w:rPr>
        <w:t>che</w:t>
      </w:r>
      <w:proofErr w:type="gramEnd"/>
      <w:r w:rsidR="00884454" w:rsidRPr="00305AEB">
        <w:rPr>
          <w:rFonts w:cs="Tahoma"/>
          <w:szCs w:val="20"/>
        </w:rPr>
        <w:t xml:space="preserve"> se il dipendente deve presentare il quadro RM del modello REDDITI PF al fine di liquidare l’addizionale del 10%, non è possibile avvalersi del modello 730.</w:t>
      </w:r>
    </w:p>
    <w:p w14:paraId="49AB1FCB" w14:textId="77777777" w:rsidR="008D15F0" w:rsidRPr="00305AEB" w:rsidRDefault="008D15F0" w:rsidP="00186726">
      <w:pPr>
        <w:tabs>
          <w:tab w:val="left" w:pos="7371"/>
          <w:tab w:val="right" w:pos="8080"/>
        </w:tabs>
        <w:rPr>
          <w:rFonts w:cs="Tahoma"/>
          <w:szCs w:val="20"/>
        </w:rPr>
      </w:pPr>
    </w:p>
    <w:p w14:paraId="44EF9848" w14:textId="77777777" w:rsidR="008D15F0" w:rsidRPr="00305AEB" w:rsidRDefault="008D15F0" w:rsidP="00186726">
      <w:pPr>
        <w:pStyle w:val="Sottotitolo"/>
        <w:rPr>
          <w:rFonts w:cs="Tahoma"/>
          <w:spacing w:val="0"/>
        </w:rPr>
      </w:pPr>
      <w:bookmarkStart w:id="43" w:name="_Toc161933132"/>
      <w:r w:rsidRPr="00305AEB">
        <w:rPr>
          <w:rFonts w:cs="Tahoma"/>
          <w:spacing w:val="0"/>
        </w:rPr>
        <w:t>2.2 Convenzioni contro le doppie imposizioni</w:t>
      </w:r>
      <w:bookmarkEnd w:id="43"/>
      <w:r w:rsidRPr="00305AEB">
        <w:rPr>
          <w:rFonts w:cs="Tahoma"/>
          <w:spacing w:val="0"/>
        </w:rPr>
        <w:t xml:space="preserve"> </w:t>
      </w:r>
    </w:p>
    <w:p w14:paraId="36B1E91C" w14:textId="77777777" w:rsidR="008D15F0" w:rsidRPr="00305AEB" w:rsidRDefault="008D15F0" w:rsidP="00186726">
      <w:pPr>
        <w:tabs>
          <w:tab w:val="left" w:pos="7371"/>
          <w:tab w:val="right" w:pos="8080"/>
        </w:tabs>
        <w:rPr>
          <w:rFonts w:cs="Tahoma"/>
          <w:szCs w:val="20"/>
        </w:rPr>
      </w:pPr>
      <w:r w:rsidRPr="00305AEB">
        <w:rPr>
          <w:rFonts w:cs="Tahoma"/>
          <w:szCs w:val="20"/>
        </w:rPr>
        <w:t>Il reddito di lavoro dipendente prestato all'estero è disciplinato dal modello OCSE di Convenzioni contro le doppie imposizioni all'art. 15, secondo il quale:</w:t>
      </w:r>
    </w:p>
    <w:p w14:paraId="6248A0AD" w14:textId="77777777" w:rsidR="008D15F0" w:rsidRPr="00305AEB" w:rsidRDefault="008D15F0" w:rsidP="00186726">
      <w:pPr>
        <w:pStyle w:val="Paragrafoelenco"/>
        <w:numPr>
          <w:ilvl w:val="0"/>
          <w:numId w:val="20"/>
        </w:numPr>
        <w:tabs>
          <w:tab w:val="left" w:pos="7371"/>
          <w:tab w:val="right" w:pos="8080"/>
        </w:tabs>
        <w:rPr>
          <w:rFonts w:cs="Tahoma"/>
          <w:szCs w:val="20"/>
        </w:rPr>
      </w:pPr>
      <w:r w:rsidRPr="00305AEB">
        <w:rPr>
          <w:rFonts w:cs="Tahoma"/>
          <w:szCs w:val="20"/>
        </w:rPr>
        <w:t>quale principio generale, il reddito di lavoro dipendente è tassato nello Stato dove l'attività viene svolta (oltre che, in base ai principi generali, nello Stato di residenza del lavoratore);</w:t>
      </w:r>
    </w:p>
    <w:p w14:paraId="1748EDF5" w14:textId="77777777" w:rsidR="008D15F0" w:rsidRPr="00305AEB" w:rsidRDefault="008D15F0" w:rsidP="00186726">
      <w:pPr>
        <w:pStyle w:val="Paragrafoelenco"/>
        <w:numPr>
          <w:ilvl w:val="0"/>
          <w:numId w:val="20"/>
        </w:numPr>
        <w:tabs>
          <w:tab w:val="left" w:pos="7371"/>
          <w:tab w:val="right" w:pos="8080"/>
        </w:tabs>
        <w:rPr>
          <w:rFonts w:cs="Tahoma"/>
          <w:szCs w:val="20"/>
        </w:rPr>
      </w:pPr>
      <w:r w:rsidRPr="00305AEB">
        <w:rPr>
          <w:rFonts w:cs="Tahoma"/>
          <w:szCs w:val="20"/>
        </w:rPr>
        <w:t xml:space="preserve">è però prevista la tassazione nel solo Stato di residenza del lavoratore se questo soggiorna nell'altro Stato per un periodo che non oltrepassa i 183 giorni nel corso di un periodo di 12 mesi e, contemporaneamente, le retribuzioni sono pagate da (o per conto di) un datore di lavoro non </w:t>
      </w:r>
      <w:r w:rsidRPr="00305AEB">
        <w:rPr>
          <w:rFonts w:cs="Tahoma"/>
          <w:szCs w:val="20"/>
        </w:rPr>
        <w:lastRenderedPageBreak/>
        <w:t>residente nello Stato dove viene svolta l'attività (e non sono pagate da una stabile organizzazione di cui il datore di lavoro dispone nello Stato in cui viene svolta l'attività). </w:t>
      </w:r>
    </w:p>
    <w:p w14:paraId="63DD9310" w14:textId="77777777" w:rsidR="008D15F0" w:rsidRPr="00305AEB" w:rsidRDefault="008D15F0" w:rsidP="00186726">
      <w:pPr>
        <w:tabs>
          <w:tab w:val="left" w:pos="7371"/>
          <w:tab w:val="right" w:pos="8080"/>
        </w:tabs>
        <w:rPr>
          <w:rFonts w:cs="Tahoma"/>
          <w:szCs w:val="20"/>
        </w:rPr>
      </w:pPr>
      <w:r w:rsidRPr="00305AEB">
        <w:rPr>
          <w:rFonts w:cs="Tahoma"/>
          <w:szCs w:val="20"/>
        </w:rPr>
        <w:t>Si tenga presente che il modello OCSE non fornisce una definizione dei redditi di lavoro dipendente; occorrerà pertanto riferirsi alle legislazioni degli Stati contraenti (Italia: art. 49, 50 e 51 del TUIR).</w:t>
      </w:r>
    </w:p>
    <w:p w14:paraId="465FBC75" w14:textId="77777777" w:rsidR="008D15F0" w:rsidRPr="00305AEB" w:rsidRDefault="008D15F0" w:rsidP="00186726">
      <w:pPr>
        <w:tabs>
          <w:tab w:val="left" w:pos="7371"/>
          <w:tab w:val="right" w:pos="8080"/>
        </w:tabs>
        <w:rPr>
          <w:rFonts w:cs="Tahoma"/>
          <w:szCs w:val="20"/>
        </w:rPr>
      </w:pPr>
      <w:r w:rsidRPr="00305AEB">
        <w:rPr>
          <w:rFonts w:cs="Tahoma"/>
          <w:szCs w:val="20"/>
        </w:rPr>
        <w:t>Secondo l’Agenzia delle Entrate, segue i principi dell’art. 15 del modello OCSE anche il TFR (R.M. n. 341/e del 2008), salvo che le Convenzioni lo disciplinino in modo espresso (</w:t>
      </w:r>
      <w:proofErr w:type="gramStart"/>
      <w:r w:rsidRPr="00305AEB">
        <w:rPr>
          <w:rFonts w:cs="Tahoma"/>
          <w:szCs w:val="20"/>
        </w:rPr>
        <w:t>come ad esempio</w:t>
      </w:r>
      <w:proofErr w:type="gramEnd"/>
      <w:r w:rsidRPr="00305AEB">
        <w:rPr>
          <w:rFonts w:cs="Tahoma"/>
          <w:szCs w:val="20"/>
        </w:rPr>
        <w:t xml:space="preserve"> fa la Convenzione Italia – Stati Uniti, che lo assimila alle pensioni).</w:t>
      </w:r>
    </w:p>
    <w:p w14:paraId="61CDA0B4" w14:textId="77777777" w:rsidR="008D15F0" w:rsidRPr="00305AEB" w:rsidRDefault="008D15F0" w:rsidP="00186726">
      <w:pPr>
        <w:tabs>
          <w:tab w:val="left" w:pos="7371"/>
          <w:tab w:val="right" w:pos="8080"/>
        </w:tabs>
        <w:rPr>
          <w:rFonts w:cs="Tahoma"/>
          <w:szCs w:val="20"/>
        </w:rPr>
      </w:pPr>
      <w:r w:rsidRPr="00305AEB">
        <w:rPr>
          <w:rFonts w:cs="Tahoma"/>
          <w:szCs w:val="20"/>
        </w:rPr>
        <w:t xml:space="preserve">Per quanto riguarda il computo dei giorni di permanenza all’estero, secondo la C.M. n. 201/E del 1996, i giorni di presenza fisica all’estero includono il giorno di arrivo e quello di partenza, i </w:t>
      </w:r>
      <w:proofErr w:type="gramStart"/>
      <w:r w:rsidRPr="00305AEB">
        <w:rPr>
          <w:rFonts w:cs="Tahoma"/>
          <w:szCs w:val="20"/>
        </w:rPr>
        <w:t>weekend</w:t>
      </w:r>
      <w:proofErr w:type="gramEnd"/>
      <w:r w:rsidRPr="00305AEB">
        <w:rPr>
          <w:rFonts w:cs="Tahoma"/>
          <w:szCs w:val="20"/>
        </w:rPr>
        <w:t xml:space="preserve"> e i giorni festivi se trascorsi all’estero, i congedi di malattia ecc. Il computo va fatto nel corso di un periodo di 12 mesi che inizi o che termini nel periodo d’imposta (in caso contrario, infatti, la norma sarebbe facilmente elusa).</w:t>
      </w:r>
    </w:p>
    <w:p w14:paraId="289B0F2E" w14:textId="55913EA9" w:rsidR="008D15F0" w:rsidRPr="00305AEB" w:rsidRDefault="008D15F0" w:rsidP="00186726">
      <w:pPr>
        <w:tabs>
          <w:tab w:val="left" w:pos="7371"/>
          <w:tab w:val="right" w:pos="8080"/>
        </w:tabs>
        <w:rPr>
          <w:rFonts w:cs="Tahoma"/>
          <w:szCs w:val="20"/>
        </w:rPr>
      </w:pPr>
      <w:r w:rsidRPr="00305AEB">
        <w:rPr>
          <w:rFonts w:cs="Tahoma"/>
          <w:szCs w:val="20"/>
        </w:rPr>
        <w:t>Quindi, per esempio, se il lavoratore soggiorna nello Stato estero dall</w:t>
      </w:r>
      <w:r w:rsidR="00234354" w:rsidRPr="00305AEB">
        <w:rPr>
          <w:rFonts w:cs="Tahoma"/>
          <w:szCs w:val="20"/>
        </w:rPr>
        <w:t>’1.9.202</w:t>
      </w:r>
      <w:r w:rsidR="007263E6" w:rsidRPr="00305AEB">
        <w:rPr>
          <w:rFonts w:cs="Tahoma"/>
          <w:szCs w:val="20"/>
        </w:rPr>
        <w:t>1</w:t>
      </w:r>
      <w:r w:rsidR="00234354" w:rsidRPr="00305AEB">
        <w:rPr>
          <w:rFonts w:cs="Tahoma"/>
          <w:szCs w:val="20"/>
        </w:rPr>
        <w:t xml:space="preserve"> al 31.5.202</w:t>
      </w:r>
      <w:r w:rsidR="007263E6" w:rsidRPr="00305AEB">
        <w:rPr>
          <w:rFonts w:cs="Tahoma"/>
          <w:szCs w:val="20"/>
        </w:rPr>
        <w:t>2</w:t>
      </w:r>
      <w:r w:rsidRPr="00305AEB">
        <w:rPr>
          <w:rFonts w:cs="Tahoma"/>
          <w:szCs w:val="20"/>
        </w:rPr>
        <w:t xml:space="preserve">, si eccedono i 183 giorni, in quanto si considera un periodo di </w:t>
      </w:r>
      <w:r w:rsidR="00234354" w:rsidRPr="00305AEB">
        <w:rPr>
          <w:rFonts w:cs="Tahoma"/>
          <w:szCs w:val="20"/>
        </w:rPr>
        <w:t>12 mesi che inizia dall’1.9.202</w:t>
      </w:r>
      <w:r w:rsidR="007263E6" w:rsidRPr="00305AEB">
        <w:rPr>
          <w:rFonts w:cs="Tahoma"/>
          <w:szCs w:val="20"/>
        </w:rPr>
        <w:t>1</w:t>
      </w:r>
      <w:r w:rsidRPr="00305AEB">
        <w:rPr>
          <w:rFonts w:cs="Tahoma"/>
          <w:szCs w:val="20"/>
        </w:rPr>
        <w:t>.</w:t>
      </w:r>
    </w:p>
    <w:p w14:paraId="26B0844C" w14:textId="77777777" w:rsidR="006249E3" w:rsidRPr="007214C7" w:rsidRDefault="006249E3" w:rsidP="007214C7"/>
    <w:p w14:paraId="69AD5E6A" w14:textId="4CCE7021" w:rsidR="008D15F0" w:rsidRPr="00305AEB" w:rsidRDefault="008D15F0" w:rsidP="00186726">
      <w:pPr>
        <w:pStyle w:val="Sottotitolo"/>
        <w:rPr>
          <w:rFonts w:cs="Tahoma"/>
          <w:spacing w:val="0"/>
        </w:rPr>
      </w:pPr>
      <w:bookmarkStart w:id="44" w:name="_Toc161933133"/>
      <w:r w:rsidRPr="00305AEB">
        <w:rPr>
          <w:rFonts w:cs="Tahoma"/>
          <w:spacing w:val="0"/>
        </w:rPr>
        <w:t>2.3 Credito per le imposte pagate all’estero</w:t>
      </w:r>
      <w:bookmarkEnd w:id="44"/>
      <w:r w:rsidRPr="00305AEB">
        <w:rPr>
          <w:rFonts w:cs="Tahoma"/>
          <w:spacing w:val="0"/>
        </w:rPr>
        <w:t xml:space="preserve"> </w:t>
      </w:r>
    </w:p>
    <w:p w14:paraId="3B0BEF63" w14:textId="77777777" w:rsidR="008D15F0" w:rsidRPr="00305AEB" w:rsidRDefault="008D15F0" w:rsidP="00186726">
      <w:pPr>
        <w:tabs>
          <w:tab w:val="left" w:pos="7371"/>
          <w:tab w:val="right" w:pos="8080"/>
        </w:tabs>
        <w:rPr>
          <w:rFonts w:cs="Tahoma"/>
          <w:szCs w:val="20"/>
        </w:rPr>
      </w:pPr>
      <w:r w:rsidRPr="00305AEB">
        <w:rPr>
          <w:rFonts w:cs="Tahoma"/>
          <w:szCs w:val="20"/>
        </w:rPr>
        <w:t>Sui redditi di lavoro dipendente percepiti all’estero da residenti italiani spetta il credito per le imposte estere previsto dall’art. 165 del TUIR, che consente di alleviare il peso della doppia imposizione internazionale.</w:t>
      </w:r>
    </w:p>
    <w:p w14:paraId="53EB6B80" w14:textId="77777777" w:rsidR="0069364A" w:rsidRPr="007214C7" w:rsidRDefault="0069364A" w:rsidP="007214C7"/>
    <w:p w14:paraId="0987F2BB" w14:textId="77777777" w:rsidR="008D15F0" w:rsidRPr="00305AEB" w:rsidRDefault="008D15F0" w:rsidP="00186726">
      <w:pPr>
        <w:pStyle w:val="Sottotitolo"/>
        <w:rPr>
          <w:rFonts w:cs="Tahoma"/>
          <w:spacing w:val="0"/>
        </w:rPr>
      </w:pPr>
      <w:bookmarkStart w:id="45" w:name="_Toc161933134"/>
      <w:r w:rsidRPr="00674665">
        <w:rPr>
          <w:rFonts w:cs="Tahoma"/>
          <w:spacing w:val="0"/>
        </w:rPr>
        <w:t>2.4 Indicazione del reddito nel quadro RC del modello REDDITI</w:t>
      </w:r>
      <w:bookmarkEnd w:id="45"/>
    </w:p>
    <w:p w14:paraId="3F77B29F" w14:textId="77777777" w:rsidR="008D15F0" w:rsidRPr="00305AEB" w:rsidRDefault="008D15F0" w:rsidP="00BD0AC3">
      <w:pPr>
        <w:tabs>
          <w:tab w:val="left" w:pos="7371"/>
          <w:tab w:val="right" w:pos="8080"/>
        </w:tabs>
        <w:spacing w:line="336" w:lineRule="auto"/>
        <w:rPr>
          <w:rFonts w:cs="Tahoma"/>
          <w:szCs w:val="20"/>
        </w:rPr>
      </w:pPr>
      <w:r w:rsidRPr="00305AEB">
        <w:rPr>
          <w:rFonts w:cs="Tahoma"/>
          <w:szCs w:val="20"/>
        </w:rPr>
        <w:t>Per i soggetti che presentano il modello REDDITI PF, i redditi di lavoro dipendente prestato all’estero sono dichiarati nel quadro RC. Nei righi da RC1 a RC3 occorre indicare, nella colonna 1 “Tipologia reddito”:</w:t>
      </w:r>
    </w:p>
    <w:p w14:paraId="6E0C4A90" w14:textId="77777777" w:rsidR="008D15F0" w:rsidRPr="00305AEB" w:rsidRDefault="008D15F0" w:rsidP="00BD0AC3">
      <w:pPr>
        <w:pStyle w:val="Paragrafoelenco"/>
        <w:numPr>
          <w:ilvl w:val="0"/>
          <w:numId w:val="21"/>
        </w:numPr>
        <w:tabs>
          <w:tab w:val="left" w:pos="7371"/>
          <w:tab w:val="right" w:pos="8080"/>
        </w:tabs>
        <w:spacing w:line="336" w:lineRule="auto"/>
        <w:rPr>
          <w:rFonts w:cs="Tahoma"/>
          <w:szCs w:val="20"/>
        </w:rPr>
      </w:pPr>
      <w:r w:rsidRPr="00305AEB">
        <w:rPr>
          <w:rFonts w:cs="Tahoma"/>
          <w:szCs w:val="20"/>
        </w:rPr>
        <w:t>il codice “2”, se il reddito è tassato secondo il regime “ordinario” o secondo le retribuzioni convenzionali;</w:t>
      </w:r>
    </w:p>
    <w:p w14:paraId="6895571E" w14:textId="77777777" w:rsidR="008D15F0" w:rsidRPr="00305AEB" w:rsidRDefault="008D15F0" w:rsidP="00BD0AC3">
      <w:pPr>
        <w:pStyle w:val="Paragrafoelenco"/>
        <w:numPr>
          <w:ilvl w:val="0"/>
          <w:numId w:val="21"/>
        </w:numPr>
        <w:tabs>
          <w:tab w:val="left" w:pos="7371"/>
          <w:tab w:val="right" w:pos="8080"/>
        </w:tabs>
        <w:spacing w:line="336" w:lineRule="auto"/>
        <w:rPr>
          <w:rFonts w:cs="Tahoma"/>
          <w:szCs w:val="20"/>
        </w:rPr>
      </w:pPr>
      <w:r w:rsidRPr="00305AEB">
        <w:rPr>
          <w:rFonts w:cs="Tahoma"/>
          <w:szCs w:val="20"/>
        </w:rPr>
        <w:t>il codice “4”, se il reddito è stato prodotto da lavoratori frontalieri.</w:t>
      </w:r>
    </w:p>
    <w:p w14:paraId="443C0DD0" w14:textId="77777777" w:rsidR="008D15F0" w:rsidRPr="00305AEB" w:rsidRDefault="008D15F0" w:rsidP="00BD0AC3">
      <w:pPr>
        <w:tabs>
          <w:tab w:val="left" w:pos="7371"/>
          <w:tab w:val="right" w:pos="8080"/>
        </w:tabs>
        <w:spacing w:line="336" w:lineRule="auto"/>
        <w:rPr>
          <w:rFonts w:cs="Tahoma"/>
          <w:szCs w:val="20"/>
        </w:rPr>
      </w:pPr>
      <w:r w:rsidRPr="00305AEB">
        <w:rPr>
          <w:rFonts w:cs="Tahoma"/>
          <w:szCs w:val="20"/>
        </w:rPr>
        <w:t>In relazione ai contribuenti residenti in Italia che percepiscono redditi di lavoro dipendente prodotti all’estero, occorre compilare anche la colonna 4 “Redditi esteri”, indicando il codice “1”, che identifica i redditi di lavoro dipendente di fonte estera, tassati in via ordinaria o mediante le retribuzioni convenzionali, per i quali nella colonna 1 è stato indicato il codice “2”.</w:t>
      </w:r>
    </w:p>
    <w:p w14:paraId="4EEABE53" w14:textId="77777777" w:rsidR="008D15F0" w:rsidRPr="00305AEB" w:rsidRDefault="008D15F0" w:rsidP="00BD0AC3">
      <w:pPr>
        <w:tabs>
          <w:tab w:val="left" w:pos="7371"/>
          <w:tab w:val="right" w:pos="8080"/>
        </w:tabs>
        <w:spacing w:line="336" w:lineRule="auto"/>
        <w:rPr>
          <w:rFonts w:cs="Tahoma"/>
          <w:szCs w:val="20"/>
        </w:rPr>
      </w:pPr>
      <w:r w:rsidRPr="00305AEB">
        <w:rPr>
          <w:rFonts w:cs="Tahoma"/>
          <w:szCs w:val="20"/>
        </w:rPr>
        <w:lastRenderedPageBreak/>
        <w:t xml:space="preserve">Si tenga presente che la colonna 4 non va compilata invece in relazione ai lavoratori frontalieri, già univocamente identificati con il codice “4” della colonna 1. </w:t>
      </w:r>
    </w:p>
    <w:p w14:paraId="1E946739" w14:textId="77777777" w:rsidR="008D15F0" w:rsidRPr="00305AEB" w:rsidRDefault="008D15F0" w:rsidP="00BD0AC3">
      <w:pPr>
        <w:tabs>
          <w:tab w:val="left" w:pos="7371"/>
          <w:tab w:val="right" w:pos="8080"/>
        </w:tabs>
        <w:spacing w:line="336" w:lineRule="auto"/>
        <w:rPr>
          <w:rFonts w:cs="Tahoma"/>
          <w:szCs w:val="20"/>
        </w:rPr>
      </w:pPr>
      <w:r w:rsidRPr="00305AEB">
        <w:rPr>
          <w:rFonts w:cs="Tahoma"/>
          <w:szCs w:val="20"/>
        </w:rPr>
        <w:t>Nel rigo RC6, colonna 1, occorre inoltre indicare il numero dei giorni relativi al periodo di lavoro nell’anno (365 se il periodo di lavoro riguarda l’intero anno), che rilevano nella determinazione delle eventuali detrazioni d’imposta spettanti ai sensi dell’art. 13 del TUIR.</w:t>
      </w:r>
    </w:p>
    <w:p w14:paraId="0CC0B6D8" w14:textId="77777777" w:rsidR="006A1630" w:rsidRPr="006A1630" w:rsidRDefault="006A1630" w:rsidP="00BD0AC3">
      <w:pPr>
        <w:spacing w:line="336" w:lineRule="auto"/>
      </w:pPr>
    </w:p>
    <w:p w14:paraId="051C1B6A" w14:textId="77777777" w:rsidR="008D15F0" w:rsidRPr="00305AEB" w:rsidRDefault="008D15F0" w:rsidP="00186726">
      <w:pPr>
        <w:pStyle w:val="NUOVOSOTTOPARAGRAFO"/>
        <w:rPr>
          <w:rFonts w:cs="Tahoma"/>
        </w:rPr>
      </w:pPr>
      <w:bookmarkStart w:id="46" w:name="_Toc161933135"/>
      <w:r w:rsidRPr="00305AEB">
        <w:rPr>
          <w:rFonts w:cs="Tahoma"/>
        </w:rPr>
        <w:t>2.4.1 Redditi tassati nei modi ordinari o secondo le retribuzioni convenzionali</w:t>
      </w:r>
      <w:bookmarkEnd w:id="46"/>
    </w:p>
    <w:p w14:paraId="22545A6C" w14:textId="77777777" w:rsidR="008D15F0" w:rsidRPr="00305AEB" w:rsidRDefault="008D15F0" w:rsidP="00186726">
      <w:pPr>
        <w:tabs>
          <w:tab w:val="left" w:pos="7371"/>
          <w:tab w:val="right" w:pos="8080"/>
        </w:tabs>
        <w:rPr>
          <w:rFonts w:cs="Tahoma"/>
          <w:szCs w:val="20"/>
        </w:rPr>
      </w:pPr>
      <w:r w:rsidRPr="00305AEB">
        <w:rPr>
          <w:rFonts w:cs="Tahoma"/>
          <w:szCs w:val="20"/>
        </w:rPr>
        <w:t>In questo caso, non vi sono indicazioni particolari da fornire nel quadro RC. Con particolare riferimento al caso dei redditi tassati secondo le retribuzioni convenzionali, nel silenzio delle istruzioni dovrebbe essere “solo” inserito questo dato, senza invece fare menzione della retribuzione effettivamente corrisposta.</w:t>
      </w:r>
    </w:p>
    <w:p w14:paraId="191D9B75" w14:textId="77777777" w:rsidR="008D15F0" w:rsidRPr="00305AEB" w:rsidRDefault="008D15F0" w:rsidP="00186726">
      <w:pPr>
        <w:tabs>
          <w:tab w:val="left" w:pos="7371"/>
          <w:tab w:val="right" w:pos="8080"/>
        </w:tabs>
        <w:rPr>
          <w:rFonts w:cs="Tahoma"/>
          <w:szCs w:val="20"/>
        </w:rPr>
      </w:pPr>
      <w:r w:rsidRPr="00305AEB">
        <w:rPr>
          <w:rFonts w:cs="Tahoma"/>
          <w:szCs w:val="20"/>
        </w:rPr>
        <w:t>Come abbiamo già detto, nel quadro RC è necessario indicare il reddito al netto dei contributi obbligatori assolti nello Stato estero.</w:t>
      </w:r>
    </w:p>
    <w:p w14:paraId="1FE19027" w14:textId="6104A79F" w:rsidR="008D15F0" w:rsidRPr="00305AEB" w:rsidRDefault="008D15F0" w:rsidP="00186726">
      <w:pPr>
        <w:tabs>
          <w:tab w:val="left" w:pos="7371"/>
          <w:tab w:val="right" w:pos="8080"/>
        </w:tabs>
        <w:rPr>
          <w:rFonts w:cs="Tahoma"/>
          <w:szCs w:val="20"/>
        </w:rPr>
      </w:pPr>
      <w:r w:rsidRPr="00305AEB">
        <w:rPr>
          <w:rFonts w:cs="Tahoma"/>
          <w:szCs w:val="20"/>
        </w:rPr>
        <w:t xml:space="preserve">Facciamo il seguente caso: un lavoratore italiano all’estero ritrae all’estero nel corso del periodo </w:t>
      </w:r>
      <w:r w:rsidR="00BA7C2C" w:rsidRPr="00305AEB">
        <w:rPr>
          <w:rFonts w:cs="Tahoma"/>
          <w:szCs w:val="20"/>
        </w:rPr>
        <w:t>202</w:t>
      </w:r>
      <w:r w:rsidR="00E24EBE">
        <w:rPr>
          <w:rFonts w:cs="Tahoma"/>
          <w:szCs w:val="20"/>
        </w:rPr>
        <w:t>3</w:t>
      </w:r>
      <w:r w:rsidRPr="00305AEB">
        <w:rPr>
          <w:rFonts w:cs="Tahoma"/>
          <w:szCs w:val="20"/>
        </w:rPr>
        <w:t xml:space="preserve"> redditi da lavoro dipendente per un totale di 43.200 </w:t>
      </w:r>
      <w:proofErr w:type="gramStart"/>
      <w:r w:rsidRPr="00305AEB">
        <w:rPr>
          <w:rFonts w:cs="Tahoma"/>
          <w:szCs w:val="20"/>
        </w:rPr>
        <w:t>Euro</w:t>
      </w:r>
      <w:proofErr w:type="gramEnd"/>
      <w:r w:rsidRPr="00305AEB">
        <w:rPr>
          <w:rFonts w:cs="Tahoma"/>
          <w:szCs w:val="20"/>
        </w:rPr>
        <w:t xml:space="preserve"> (già rideterminati con i criteri italiani come definiti dall’art. 51, commi da 1 a 8 del TUIR) al lordo dei contributi.</w:t>
      </w:r>
    </w:p>
    <w:p w14:paraId="2B63E7EF" w14:textId="0A9F6C4F" w:rsidR="008D15F0" w:rsidRPr="00305AEB" w:rsidRDefault="008D15F0" w:rsidP="00186726">
      <w:pPr>
        <w:tabs>
          <w:tab w:val="left" w:pos="7371"/>
          <w:tab w:val="right" w:pos="8080"/>
        </w:tabs>
        <w:rPr>
          <w:rFonts w:cs="Tahoma"/>
          <w:szCs w:val="20"/>
        </w:rPr>
      </w:pPr>
      <w:r w:rsidRPr="00305AEB">
        <w:rPr>
          <w:rFonts w:cs="Tahoma"/>
          <w:szCs w:val="20"/>
        </w:rPr>
        <w:t xml:space="preserve">I contributi risultano pari a 11.000 </w:t>
      </w:r>
      <w:proofErr w:type="gramStart"/>
      <w:r w:rsidRPr="00305AEB">
        <w:rPr>
          <w:rFonts w:cs="Tahoma"/>
          <w:szCs w:val="20"/>
        </w:rPr>
        <w:t>Euro</w:t>
      </w:r>
      <w:proofErr w:type="gramEnd"/>
      <w:r w:rsidRPr="00305AEB">
        <w:rPr>
          <w:rFonts w:cs="Tahoma"/>
          <w:szCs w:val="20"/>
        </w:rPr>
        <w:t xml:space="preserve"> per l’anno </w:t>
      </w:r>
      <w:r w:rsidR="00BA7C2C" w:rsidRPr="00305AEB">
        <w:rPr>
          <w:rFonts w:cs="Tahoma"/>
          <w:szCs w:val="20"/>
        </w:rPr>
        <w:t>202</w:t>
      </w:r>
      <w:r w:rsidR="00E24EBE">
        <w:rPr>
          <w:rFonts w:cs="Tahoma"/>
          <w:szCs w:val="20"/>
        </w:rPr>
        <w:t>3</w:t>
      </w:r>
      <w:r w:rsidRPr="00305AEB">
        <w:rPr>
          <w:rFonts w:cs="Tahoma"/>
          <w:szCs w:val="20"/>
        </w:rPr>
        <w:t xml:space="preserve"> secondo la Certificazione fornita dal datore di lavoro estero. In tal caso, l’ammontare imponibile in Italia per tale lavoratore sarà:</w:t>
      </w:r>
    </w:p>
    <w:p w14:paraId="32C58568" w14:textId="77777777" w:rsidR="008D15F0" w:rsidRPr="00305AEB" w:rsidRDefault="008D15F0" w:rsidP="00186726">
      <w:pPr>
        <w:jc w:val="center"/>
        <w:rPr>
          <w:rFonts w:cs="Tahoma"/>
          <w:szCs w:val="20"/>
        </w:rPr>
      </w:pPr>
      <w:r w:rsidRPr="00305AEB">
        <w:rPr>
          <w:rFonts w:cs="Tahoma"/>
          <w:szCs w:val="20"/>
        </w:rPr>
        <w:t>43.200 – 11.000 = 32.200 Euro</w:t>
      </w:r>
    </w:p>
    <w:p w14:paraId="5E9BA87E" w14:textId="77777777" w:rsidR="008D15F0" w:rsidRDefault="008D15F0" w:rsidP="000F7D8F">
      <w:pPr>
        <w:tabs>
          <w:tab w:val="left" w:pos="7371"/>
          <w:tab w:val="right" w:pos="8080"/>
        </w:tabs>
        <w:rPr>
          <w:rFonts w:cs="Tahoma"/>
          <w:szCs w:val="20"/>
        </w:rPr>
      </w:pPr>
      <w:r w:rsidRPr="00305AEB">
        <w:rPr>
          <w:rFonts w:cs="Tahoma"/>
          <w:szCs w:val="20"/>
        </w:rPr>
        <w:t>Il quadro RC è compilato come segue:</w:t>
      </w:r>
    </w:p>
    <w:p w14:paraId="29005B40" w14:textId="189F2ACB" w:rsidR="00E74279" w:rsidRPr="00305AEB" w:rsidRDefault="000A48B9" w:rsidP="00186726">
      <w:pPr>
        <w:tabs>
          <w:tab w:val="left" w:pos="7371"/>
          <w:tab w:val="right" w:pos="8080"/>
        </w:tabs>
        <w:rPr>
          <w:rFonts w:cs="Tahoma"/>
          <w:szCs w:val="20"/>
        </w:rPr>
      </w:pPr>
      <w:r>
        <w:rPr>
          <w:rFonts w:cs="Tahoma"/>
          <w:noProof/>
          <w:szCs w:val="20"/>
        </w:rPr>
        <w:drawing>
          <wp:inline distT="0" distB="0" distL="0" distR="0" wp14:anchorId="2D396F62" wp14:editId="4992E009">
            <wp:extent cx="5849620" cy="1739900"/>
            <wp:effectExtent l="0" t="0" r="0" b="0"/>
            <wp:docPr id="9226181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61818" name="Immagine 92261818"/>
                    <pic:cNvPicPr/>
                  </pic:nvPicPr>
                  <pic:blipFill>
                    <a:blip r:embed="rId19"/>
                    <a:stretch>
                      <a:fillRect/>
                    </a:stretch>
                  </pic:blipFill>
                  <pic:spPr>
                    <a:xfrm>
                      <a:off x="0" y="0"/>
                      <a:ext cx="5849620" cy="1739900"/>
                    </a:xfrm>
                    <a:prstGeom prst="rect">
                      <a:avLst/>
                    </a:prstGeom>
                  </pic:spPr>
                </pic:pic>
              </a:graphicData>
            </a:graphic>
          </wp:inline>
        </w:drawing>
      </w:r>
    </w:p>
    <w:p w14:paraId="3863FBEC" w14:textId="22A99DFA" w:rsidR="008D15F0" w:rsidRPr="00305AEB" w:rsidRDefault="008D15F0" w:rsidP="00186726">
      <w:pPr>
        <w:tabs>
          <w:tab w:val="left" w:pos="7371"/>
          <w:tab w:val="right" w:pos="8080"/>
        </w:tabs>
        <w:rPr>
          <w:rFonts w:cs="Tahoma"/>
          <w:szCs w:val="20"/>
        </w:rPr>
      </w:pPr>
      <w:r w:rsidRPr="00305AEB">
        <w:rPr>
          <w:rFonts w:cs="Tahoma"/>
          <w:szCs w:val="20"/>
        </w:rPr>
        <w:t>Come si può vedere abbiamo inserito come importo imponibile l’ammontare del reddito lordo meno i contributi obbligatori esteri.</w:t>
      </w:r>
    </w:p>
    <w:p w14:paraId="361207F9" w14:textId="290F4DE9" w:rsidR="006249E3" w:rsidRDefault="006249E3">
      <w:pPr>
        <w:rPr>
          <w:rFonts w:cs="Tahoma"/>
          <w:b/>
          <w:i/>
        </w:rPr>
      </w:pPr>
    </w:p>
    <w:p w14:paraId="7D0DA4B0" w14:textId="5CD01712" w:rsidR="008D15F0" w:rsidRPr="00305AEB" w:rsidRDefault="008D15F0" w:rsidP="00186726">
      <w:pPr>
        <w:pStyle w:val="NUOVOSOTTOPARAGRAFO"/>
        <w:rPr>
          <w:rFonts w:cs="Tahoma"/>
        </w:rPr>
      </w:pPr>
      <w:bookmarkStart w:id="47" w:name="_Toc161933136"/>
      <w:r w:rsidRPr="00305AEB">
        <w:rPr>
          <w:rFonts w:cs="Tahoma"/>
        </w:rPr>
        <w:lastRenderedPageBreak/>
        <w:t>2.4.2 Redditi dei lavoratori frontalieri</w:t>
      </w:r>
      <w:bookmarkEnd w:id="47"/>
    </w:p>
    <w:p w14:paraId="0F73E468" w14:textId="4F72FF36" w:rsidR="008D15F0" w:rsidRPr="00305AEB" w:rsidRDefault="008D15F0" w:rsidP="00186726">
      <w:pPr>
        <w:tabs>
          <w:tab w:val="left" w:pos="7371"/>
          <w:tab w:val="right" w:pos="8080"/>
        </w:tabs>
        <w:rPr>
          <w:rFonts w:cs="Tahoma"/>
          <w:szCs w:val="20"/>
        </w:rPr>
      </w:pPr>
      <w:r w:rsidRPr="00305AEB">
        <w:rPr>
          <w:rFonts w:cs="Tahoma"/>
          <w:szCs w:val="20"/>
        </w:rPr>
        <w:t xml:space="preserve">Nel caso dei lavoratori frontalieri, è necessario inserire il reddito al lordo e al netto della franchigia di 7.500 </w:t>
      </w:r>
      <w:proofErr w:type="gramStart"/>
      <w:r w:rsidRPr="00305AEB">
        <w:rPr>
          <w:rFonts w:cs="Tahoma"/>
          <w:szCs w:val="20"/>
        </w:rPr>
        <w:t>Euro</w:t>
      </w:r>
      <w:proofErr w:type="gramEnd"/>
      <w:r w:rsidR="003438EB">
        <w:rPr>
          <w:rFonts w:cs="Tahoma"/>
          <w:szCs w:val="20"/>
        </w:rPr>
        <w:t xml:space="preserve"> (dal 2024 sarà necessario aumentare la franchigia a 10.000 Euro)</w:t>
      </w:r>
      <w:r w:rsidRPr="00305AEB">
        <w:rPr>
          <w:rFonts w:cs="Tahoma"/>
          <w:szCs w:val="20"/>
        </w:rPr>
        <w:t xml:space="preserve">. Nel quadro RC del modello REDDITI PF è, infatti, presente il campo “Quota esente frontalieri” (Rigo RC5, colonna 1), dove occorre indicare la franchigia di 7.500 </w:t>
      </w:r>
      <w:proofErr w:type="gramStart"/>
      <w:r w:rsidRPr="00305AEB">
        <w:rPr>
          <w:rFonts w:cs="Tahoma"/>
          <w:szCs w:val="20"/>
        </w:rPr>
        <w:t>Euro</w:t>
      </w:r>
      <w:proofErr w:type="gramEnd"/>
      <w:r w:rsidRPr="00305AEB">
        <w:rPr>
          <w:rFonts w:cs="Tahoma"/>
          <w:szCs w:val="20"/>
        </w:rPr>
        <w:t xml:space="preserve"> (che non può superare il reddito di lavoro del frontaliere), che va a sottrarsi dal reddito lordo.</w:t>
      </w:r>
    </w:p>
    <w:p w14:paraId="6C0E35FB" w14:textId="77777777" w:rsidR="008D15F0" w:rsidRDefault="008D15F0" w:rsidP="000F7D8F">
      <w:pPr>
        <w:tabs>
          <w:tab w:val="left" w:pos="7371"/>
          <w:tab w:val="right" w:pos="8080"/>
        </w:tabs>
        <w:rPr>
          <w:rFonts w:cs="Tahoma"/>
          <w:szCs w:val="20"/>
        </w:rPr>
      </w:pPr>
      <w:r w:rsidRPr="00305AEB">
        <w:rPr>
          <w:rFonts w:cs="Tahoma"/>
          <w:szCs w:val="20"/>
        </w:rPr>
        <w:t xml:space="preserve">Se, quindi, il frontaliere ritrae all’estero un reddito pari a 50.000 </w:t>
      </w:r>
      <w:proofErr w:type="gramStart"/>
      <w:r w:rsidRPr="00305AEB">
        <w:rPr>
          <w:rFonts w:cs="Tahoma"/>
          <w:szCs w:val="20"/>
        </w:rPr>
        <w:t>Euro</w:t>
      </w:r>
      <w:proofErr w:type="gramEnd"/>
      <w:r w:rsidRPr="00305AEB">
        <w:rPr>
          <w:rFonts w:cs="Tahoma"/>
          <w:szCs w:val="20"/>
        </w:rPr>
        <w:t xml:space="preserve"> per un lavoro che si protrae per tutto l’anno solare, tassato in Italia sulla base imponibile di 42.500 Euro, il quadro RC è compilato come segue:</w:t>
      </w:r>
    </w:p>
    <w:p w14:paraId="3BDB5477" w14:textId="445F3D62" w:rsidR="00E1166B" w:rsidRDefault="00BD0AC3" w:rsidP="000F7D8F">
      <w:pPr>
        <w:tabs>
          <w:tab w:val="left" w:pos="7371"/>
          <w:tab w:val="right" w:pos="8080"/>
        </w:tabs>
        <w:rPr>
          <w:rFonts w:cs="Tahoma"/>
          <w:szCs w:val="20"/>
        </w:rPr>
      </w:pPr>
      <w:r>
        <w:rPr>
          <w:rFonts w:cs="Tahoma"/>
          <w:noProof/>
          <w:szCs w:val="20"/>
        </w:rPr>
        <w:drawing>
          <wp:inline distT="0" distB="0" distL="0" distR="0" wp14:anchorId="7F727FD3" wp14:editId="7E0FEF60">
            <wp:extent cx="5839460" cy="1773555"/>
            <wp:effectExtent l="0" t="0" r="8890" b="0"/>
            <wp:docPr id="1364106064"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39460" cy="1773555"/>
                    </a:xfrm>
                    <a:prstGeom prst="rect">
                      <a:avLst/>
                    </a:prstGeom>
                    <a:noFill/>
                    <a:ln>
                      <a:noFill/>
                    </a:ln>
                  </pic:spPr>
                </pic:pic>
              </a:graphicData>
            </a:graphic>
          </wp:inline>
        </w:drawing>
      </w:r>
    </w:p>
    <w:p w14:paraId="6F14C0E0" w14:textId="210ADB9B" w:rsidR="008D15F0" w:rsidRDefault="008D15F0" w:rsidP="00186726">
      <w:pPr>
        <w:tabs>
          <w:tab w:val="left" w:pos="7371"/>
          <w:tab w:val="right" w:pos="8080"/>
        </w:tabs>
        <w:rPr>
          <w:rFonts w:cs="Tahoma"/>
          <w:szCs w:val="20"/>
        </w:rPr>
      </w:pPr>
      <w:r w:rsidRPr="00305AEB">
        <w:rPr>
          <w:rFonts w:cs="Tahoma"/>
          <w:szCs w:val="20"/>
        </w:rPr>
        <w:t xml:space="preserve">Come si può notare, occorre inserire prima nei righi RC1-RC3 il reddito al lordo della franchigia e successivamente, nel rigo RC5, il reddito netto. </w:t>
      </w:r>
    </w:p>
    <w:p w14:paraId="69BAC378" w14:textId="77777777" w:rsidR="006249E3" w:rsidRPr="00305AEB" w:rsidRDefault="006249E3" w:rsidP="00186726">
      <w:pPr>
        <w:tabs>
          <w:tab w:val="left" w:pos="7371"/>
          <w:tab w:val="right" w:pos="8080"/>
        </w:tabs>
        <w:rPr>
          <w:rFonts w:cs="Tahoma"/>
          <w:szCs w:val="20"/>
        </w:rPr>
      </w:pPr>
    </w:p>
    <w:p w14:paraId="010CDEA1" w14:textId="22F5469E" w:rsidR="007374E1" w:rsidRPr="00305AEB" w:rsidRDefault="004E66D1" w:rsidP="00186726">
      <w:pPr>
        <w:pStyle w:val="Sottotitolo"/>
        <w:rPr>
          <w:rFonts w:cs="Tahoma"/>
          <w:spacing w:val="0"/>
        </w:rPr>
      </w:pPr>
      <w:bookmarkStart w:id="48" w:name="_Toc161933137"/>
      <w:r w:rsidRPr="00305AEB">
        <w:rPr>
          <w:rFonts w:cs="Tahoma"/>
          <w:spacing w:val="0"/>
        </w:rPr>
        <w:t>2.5</w:t>
      </w:r>
      <w:r w:rsidR="007374E1" w:rsidRPr="00305AEB">
        <w:rPr>
          <w:rFonts w:cs="Tahoma"/>
          <w:spacing w:val="0"/>
        </w:rPr>
        <w:t xml:space="preserve"> </w:t>
      </w:r>
      <w:r w:rsidR="000A000A" w:rsidRPr="00305AEB">
        <w:rPr>
          <w:rFonts w:cs="Tahoma"/>
          <w:spacing w:val="0"/>
        </w:rPr>
        <w:t>Territorialità dei redditi di lavoro dipendente incerta in epoca COVID</w:t>
      </w:r>
      <w:bookmarkEnd w:id="48"/>
    </w:p>
    <w:p w14:paraId="79670A8E" w14:textId="084320B1" w:rsidR="007374E1" w:rsidRPr="00305AEB" w:rsidRDefault="00C955D9" w:rsidP="00186726">
      <w:pPr>
        <w:tabs>
          <w:tab w:val="left" w:pos="7371"/>
          <w:tab w:val="right" w:pos="8080"/>
        </w:tabs>
        <w:rPr>
          <w:rFonts w:cs="Tahoma"/>
          <w:szCs w:val="20"/>
        </w:rPr>
      </w:pPr>
      <w:r w:rsidRPr="00305AEB">
        <w:rPr>
          <w:rFonts w:cs="Tahoma"/>
          <w:szCs w:val="20"/>
        </w:rPr>
        <w:t>L’OCSE ha aggiornato le linee guida sull’interpretazione dei Trattati contro le doppie imposizioni tenendo conto del contesto attualmente caratterizzato dall’emergenza COVID-19.</w:t>
      </w:r>
      <w:r w:rsidR="002D7020" w:rsidRPr="00305AEB">
        <w:rPr>
          <w:rFonts w:cs="Tahoma"/>
          <w:szCs w:val="20"/>
        </w:rPr>
        <w:t xml:space="preserve"> Con questo aggiornamento – 21 gennaio 2021 – l’OCSE si occupa, tra l’altro, anche della tassazione dei redditi di lavoro dipendente.</w:t>
      </w:r>
    </w:p>
    <w:p w14:paraId="4ACE678A" w14:textId="16B70501" w:rsidR="001A3761" w:rsidRPr="00305AEB" w:rsidRDefault="001A3761" w:rsidP="00186726">
      <w:pPr>
        <w:tabs>
          <w:tab w:val="left" w:pos="7371"/>
          <w:tab w:val="right" w:pos="8080"/>
        </w:tabs>
        <w:rPr>
          <w:rFonts w:cs="Tahoma"/>
          <w:szCs w:val="20"/>
        </w:rPr>
      </w:pPr>
      <w:r w:rsidRPr="00305AEB">
        <w:rPr>
          <w:rFonts w:cs="Tahoma"/>
          <w:szCs w:val="20"/>
        </w:rPr>
        <w:t>Come già detto, il modello OCSE prevede, all’art. 15, paragrafo 1, il principio della c.d. tassazione concorrente, operante laddove l’attività di lavoro dipendente sia svolta in uno Stato diverso da quello di residenza del lavoratore.</w:t>
      </w:r>
    </w:p>
    <w:p w14:paraId="1F4A36BF" w14:textId="7D230EAE" w:rsidR="00CE3804" w:rsidRPr="00305AEB" w:rsidRDefault="00CE3804" w:rsidP="00186726">
      <w:pPr>
        <w:tabs>
          <w:tab w:val="left" w:pos="7371"/>
          <w:tab w:val="right" w:pos="8080"/>
        </w:tabs>
        <w:rPr>
          <w:rFonts w:cs="Tahoma"/>
          <w:szCs w:val="20"/>
        </w:rPr>
      </w:pPr>
      <w:r w:rsidRPr="00305AEB">
        <w:rPr>
          <w:rFonts w:cs="Tahoma"/>
          <w:szCs w:val="20"/>
        </w:rPr>
        <w:t>Come anticipato, in deroga a tale principio generale, il paragrafo 2 del medesimo articolo 15, prevede la tassazione esclusiva nello Stato di residenza del lavoratore a condizione che:</w:t>
      </w:r>
    </w:p>
    <w:p w14:paraId="4AA91CDF" w14:textId="78559D2B" w:rsidR="00007C80" w:rsidRPr="00305AEB" w:rsidRDefault="007314E0" w:rsidP="00186726">
      <w:pPr>
        <w:pStyle w:val="Paragrafoelenco"/>
        <w:numPr>
          <w:ilvl w:val="0"/>
          <w:numId w:val="70"/>
        </w:numPr>
        <w:tabs>
          <w:tab w:val="left" w:pos="7371"/>
          <w:tab w:val="right" w:pos="8080"/>
        </w:tabs>
        <w:rPr>
          <w:rFonts w:cs="Tahoma"/>
          <w:szCs w:val="20"/>
        </w:rPr>
      </w:pPr>
      <w:r w:rsidRPr="00305AEB">
        <w:rPr>
          <w:rFonts w:cs="Tahoma"/>
          <w:szCs w:val="20"/>
        </w:rPr>
        <w:t>il lavoratore soggiorni nello Stato in cui esercita l’attività lavorativa per un periodo non eccedente 183 giorni nel corso di un periodo di 12 mesi, che inizi o che termini nell’anno fiscale considerato;</w:t>
      </w:r>
    </w:p>
    <w:p w14:paraId="15DDC830" w14:textId="0210F7D3" w:rsidR="007314E0" w:rsidRPr="00305AEB" w:rsidRDefault="007314E0" w:rsidP="00186726">
      <w:pPr>
        <w:pStyle w:val="Paragrafoelenco"/>
        <w:numPr>
          <w:ilvl w:val="0"/>
          <w:numId w:val="70"/>
        </w:numPr>
        <w:tabs>
          <w:tab w:val="left" w:pos="7371"/>
          <w:tab w:val="right" w:pos="8080"/>
        </w:tabs>
        <w:rPr>
          <w:rFonts w:cs="Tahoma"/>
          <w:szCs w:val="20"/>
        </w:rPr>
      </w:pPr>
      <w:r w:rsidRPr="00305AEB">
        <w:rPr>
          <w:rFonts w:cs="Tahoma"/>
          <w:szCs w:val="20"/>
        </w:rPr>
        <w:lastRenderedPageBreak/>
        <w:t>le remunerazioni siano pagate da, o per conto di, un datore di lavoro che non è residente nello Stato dove viene svolta l’attività di lavoro e l’onere delle remunerazioni non sia sostenuto da una stabile organizzazione di cui il datore di lavoro dispone nello Stato in cui l’attività è svolta.</w:t>
      </w:r>
    </w:p>
    <w:p w14:paraId="35853C63" w14:textId="758D4D45" w:rsidR="00F12185" w:rsidRPr="00305AEB" w:rsidRDefault="00F12185" w:rsidP="00186726">
      <w:pPr>
        <w:tabs>
          <w:tab w:val="left" w:pos="7371"/>
          <w:tab w:val="right" w:pos="8080"/>
        </w:tabs>
        <w:rPr>
          <w:rFonts w:cs="Tahoma"/>
          <w:szCs w:val="20"/>
        </w:rPr>
      </w:pPr>
      <w:r w:rsidRPr="00305AEB">
        <w:rPr>
          <w:rFonts w:cs="Tahoma"/>
          <w:szCs w:val="20"/>
        </w:rPr>
        <w:t>Il documento di aggiornamento OCSE si concentra, tra gli altri, sul requisito dei giorni di permanenza all’estero, evidenziando che, a causa delle misure restrittive della mobilità internazionale, il lavoratore residente nello Stato A potrebbe essere costretto a permanere nello Stato B in cui esercita l’attività lavorativa.</w:t>
      </w:r>
    </w:p>
    <w:p w14:paraId="3CFE5BC4" w14:textId="0495A953" w:rsidR="005D6C6F" w:rsidRPr="00305AEB" w:rsidRDefault="005D6C6F" w:rsidP="00186726">
      <w:pPr>
        <w:tabs>
          <w:tab w:val="left" w:pos="7371"/>
          <w:tab w:val="right" w:pos="8080"/>
        </w:tabs>
        <w:rPr>
          <w:rFonts w:cs="Tahoma"/>
          <w:szCs w:val="20"/>
        </w:rPr>
      </w:pPr>
      <w:r w:rsidRPr="00305AEB">
        <w:rPr>
          <w:rFonts w:cs="Tahoma"/>
          <w:szCs w:val="20"/>
        </w:rPr>
        <w:t>In relazione con tale argomento, richiamando quanto prevede il paragrafo 5 del Commentario all’art. 15 in merito alla rilevanza nel conteggio dei giorni dei congedi per malattia, l’OCSE ritiene ragionevole che, nell’esempio riportato, l’autorità fiscale dello Stato B non tenga conto dei giorni ivi trascorsi (in dipendenza delle restrizioni alla mobilità) e che, nel rispetto delle varie condizioni, conceda l’esenzione da tassazione sui redditi di lavoro dipendente.</w:t>
      </w:r>
    </w:p>
    <w:p w14:paraId="5A56DEDD" w14:textId="1D12FA43" w:rsidR="0012465E" w:rsidRPr="00305AEB" w:rsidRDefault="00C72F88" w:rsidP="00186726">
      <w:pPr>
        <w:tabs>
          <w:tab w:val="left" w:pos="7371"/>
          <w:tab w:val="right" w:pos="8080"/>
        </w:tabs>
        <w:rPr>
          <w:rFonts w:cs="Tahoma"/>
          <w:szCs w:val="20"/>
        </w:rPr>
      </w:pPr>
      <w:r w:rsidRPr="00305AEB">
        <w:rPr>
          <w:rFonts w:cs="Tahoma"/>
          <w:szCs w:val="20"/>
        </w:rPr>
        <w:t xml:space="preserve">Molti Paesi hanno recepito tale approccio. Per esempio, l’Austria, la Germania, </w:t>
      </w:r>
      <w:r w:rsidR="00D84FA4" w:rsidRPr="00305AEB">
        <w:rPr>
          <w:rFonts w:cs="Tahoma"/>
          <w:szCs w:val="20"/>
        </w:rPr>
        <w:t>l’Irlanda</w:t>
      </w:r>
      <w:r w:rsidRPr="00305AEB">
        <w:rPr>
          <w:rFonts w:cs="Tahoma"/>
          <w:szCs w:val="20"/>
        </w:rPr>
        <w:t xml:space="preserve"> e il Regno Unito.</w:t>
      </w:r>
    </w:p>
    <w:p w14:paraId="7CF00063" w14:textId="3C3863BB" w:rsidR="0012465E" w:rsidRPr="00305AEB" w:rsidRDefault="0012465E" w:rsidP="00186726">
      <w:pPr>
        <w:tabs>
          <w:tab w:val="left" w:pos="7371"/>
          <w:tab w:val="right" w:pos="8080"/>
        </w:tabs>
        <w:rPr>
          <w:rFonts w:cs="Tahoma"/>
          <w:szCs w:val="20"/>
        </w:rPr>
      </w:pPr>
      <w:r w:rsidRPr="00305AEB">
        <w:rPr>
          <w:rFonts w:cs="Tahoma"/>
          <w:szCs w:val="20"/>
        </w:rPr>
        <w:t>Il Ministero dell'Economia e delle Finanze ha affrontato la questione con la risposta a interrogazione parlamentare 3.12.2020 n. 5-04654, la quale risulta, però, sostanzialmente priva di indicazioni specifiche, limitandosi ad evidenziare, in linea generale, che verrà assicurata "la trattazione di procedure amichevoli con le autorità dei Paesi interessati, ove siano rilevati casi di difficoltà o dubbi inerenti all'interpretazione o all'applicazione di specifiche disposizioni contenute nelle Convenzioni sulle doppie imposizioni, in considerazione delle circostanze verificatesi con l'emergenza sanitaria".</w:t>
      </w:r>
    </w:p>
    <w:p w14:paraId="1E4BD92B" w14:textId="2016115C" w:rsidR="0012465E" w:rsidRPr="00305AEB" w:rsidRDefault="0012465E" w:rsidP="00186726">
      <w:pPr>
        <w:tabs>
          <w:tab w:val="left" w:pos="7371"/>
          <w:tab w:val="right" w:pos="8080"/>
        </w:tabs>
        <w:rPr>
          <w:rFonts w:cs="Tahoma"/>
          <w:szCs w:val="20"/>
        </w:rPr>
      </w:pPr>
      <w:r w:rsidRPr="00305AEB">
        <w:rPr>
          <w:rFonts w:cs="Tahoma"/>
          <w:szCs w:val="20"/>
        </w:rPr>
        <w:t>Successivamente, con risposta a interpello</w:t>
      </w:r>
      <w:r w:rsidR="004D4D5B" w:rsidRPr="00305AEB">
        <w:rPr>
          <w:rFonts w:cs="Tahoma"/>
          <w:szCs w:val="20"/>
        </w:rPr>
        <w:t xml:space="preserve"> n. 458 del </w:t>
      </w:r>
      <w:r w:rsidRPr="00305AEB">
        <w:rPr>
          <w:rFonts w:cs="Tahoma"/>
          <w:szCs w:val="20"/>
        </w:rPr>
        <w:t xml:space="preserve"> 7.7.2021, l'Agenzia delle Entrate ha formalizzato in modo espresso il principio per cui l'applicazione dell'</w:t>
      </w:r>
      <w:r w:rsidR="004D4D5B" w:rsidRPr="00305AEB">
        <w:rPr>
          <w:rFonts w:cs="Tahoma"/>
          <w:szCs w:val="20"/>
        </w:rPr>
        <w:t>art. 2</w:t>
      </w:r>
      <w:r w:rsidRPr="00305AEB">
        <w:rPr>
          <w:rFonts w:cs="Tahoma"/>
          <w:szCs w:val="20"/>
        </w:rPr>
        <w:t> del TUIR "prescinde dalla circostanza che una eventuale permanenza della persona fisica nel nostro Paese sia dettata da motivi legati alla pandemia".</w:t>
      </w:r>
    </w:p>
    <w:p w14:paraId="757DCF96" w14:textId="77777777" w:rsidR="00AC5BEC" w:rsidRPr="00305AEB" w:rsidRDefault="0012465E" w:rsidP="00186726">
      <w:pPr>
        <w:tabs>
          <w:tab w:val="left" w:pos="7371"/>
          <w:tab w:val="right" w:pos="8080"/>
        </w:tabs>
        <w:rPr>
          <w:rFonts w:cs="Tahoma"/>
          <w:szCs w:val="20"/>
        </w:rPr>
      </w:pPr>
      <w:r w:rsidRPr="00305AEB">
        <w:rPr>
          <w:rFonts w:cs="Tahoma"/>
          <w:szCs w:val="20"/>
        </w:rPr>
        <w:t>Tale linea interpretativa autorizzerebbe a considerare residenti, agli effetti della normativa interna, le persone che hanno avuto in Italia la residenza o il domicilio per la maggior parte del periodo d'imposta, indipendentemente dal fatto che ciò sia dovuto ad una scelta, a motivazioni di prudenza nei viaggi e negli spostamenti, o a blocchi tout court negli spostamenti aerei.</w:t>
      </w:r>
    </w:p>
    <w:p w14:paraId="7895DF21" w14:textId="28C700FE" w:rsidR="0012465E" w:rsidRPr="00305AEB" w:rsidRDefault="0012465E" w:rsidP="00186726">
      <w:pPr>
        <w:tabs>
          <w:tab w:val="left" w:pos="7371"/>
          <w:tab w:val="right" w:pos="8080"/>
        </w:tabs>
        <w:rPr>
          <w:rFonts w:cs="Tahoma"/>
          <w:szCs w:val="20"/>
        </w:rPr>
      </w:pPr>
      <w:r w:rsidRPr="00305AEB">
        <w:rPr>
          <w:rFonts w:cs="Tahoma"/>
          <w:szCs w:val="20"/>
        </w:rPr>
        <w:t>In altre parole, in assenza di esplicite disposizioni derogatorie ai criteri di residenza fiscale, i contribuenti che hanno trascorso in Italia almeno 183 giorni, a causa delle restrizioni dovute alla pandemia o su base volontaria e che risultano residenti in Italia anche ai sensi della Convenzione, potrebbero essere costretti ad assoggettare a tassazione in Italia i redditi ovunque prodotti, in forza dell'</w:t>
      </w:r>
      <w:r w:rsidR="00AC5BEC" w:rsidRPr="00305AEB">
        <w:rPr>
          <w:rFonts w:cs="Tahoma"/>
          <w:szCs w:val="20"/>
        </w:rPr>
        <w:t>art. 3</w:t>
      </w:r>
      <w:r w:rsidRPr="00305AEB">
        <w:rPr>
          <w:rFonts w:cs="Tahoma"/>
          <w:szCs w:val="20"/>
        </w:rPr>
        <w:t> del TUIR.</w:t>
      </w:r>
    </w:p>
    <w:p w14:paraId="6974E684" w14:textId="77777777" w:rsidR="0070184A" w:rsidRPr="00305AEB" w:rsidRDefault="0070184A" w:rsidP="00186726">
      <w:pPr>
        <w:tabs>
          <w:tab w:val="left" w:pos="7371"/>
          <w:tab w:val="right" w:pos="8080"/>
        </w:tabs>
        <w:rPr>
          <w:rFonts w:cs="Tahoma"/>
          <w:szCs w:val="20"/>
        </w:rPr>
      </w:pPr>
      <w:r w:rsidRPr="00305AEB">
        <w:rPr>
          <w:rFonts w:cs="Tahoma"/>
          <w:szCs w:val="20"/>
        </w:rPr>
        <w:t>Le disposizioni nazionali vanno coordinate con quelle convenzionali.</w:t>
      </w:r>
    </w:p>
    <w:p w14:paraId="44BC3530" w14:textId="710BAAB5" w:rsidR="0070184A" w:rsidRPr="00305AEB" w:rsidRDefault="0070184A" w:rsidP="00186726">
      <w:pPr>
        <w:tabs>
          <w:tab w:val="left" w:pos="7371"/>
          <w:tab w:val="right" w:pos="8080"/>
        </w:tabs>
        <w:rPr>
          <w:rFonts w:cs="Tahoma"/>
          <w:szCs w:val="20"/>
        </w:rPr>
      </w:pPr>
      <w:r w:rsidRPr="00305AEB">
        <w:rPr>
          <w:rFonts w:cs="Tahoma"/>
          <w:szCs w:val="20"/>
        </w:rPr>
        <w:lastRenderedPageBreak/>
        <w:t>Al riguardo, la risposta n. 458 del 2021 sembra rifarsi al paragrafo 35 del documento OCSE del 3.4.2020, in cui si sostiene che, ove si sia in presenza di una abitazione permanente in entrambi gli Stati e risulti incerta la determinazione del centro degli interessi vitali della persona, si "scalerebbe" alla terza </w:t>
      </w:r>
      <w:proofErr w:type="spellStart"/>
      <w:r w:rsidRPr="00305AEB">
        <w:rPr>
          <w:rFonts w:cs="Tahoma"/>
          <w:szCs w:val="20"/>
        </w:rPr>
        <w:t>tie-breaker</w:t>
      </w:r>
      <w:proofErr w:type="spellEnd"/>
      <w:r w:rsidRPr="00305AEB">
        <w:rPr>
          <w:rFonts w:cs="Tahoma"/>
          <w:szCs w:val="20"/>
        </w:rPr>
        <w:t xml:space="preserve"> rule dell'art. 4, paragrafo 2 del modello OCSE, che considera il luogo di soggiorno abituale; esso tiene conto della frequenza, durata e regolarità dei soggiorni all'estero e, conseguentemente, offre una valutazione su un lasso di tempo sufficientemente ampio da neutralizzare gli effetti delle situazioni transitorie.</w:t>
      </w:r>
    </w:p>
    <w:p w14:paraId="2C4B5502" w14:textId="77777777" w:rsidR="004F533C" w:rsidRPr="00305AEB" w:rsidRDefault="004F533C" w:rsidP="00186726">
      <w:pPr>
        <w:pStyle w:val="Sottotitolo"/>
        <w:rPr>
          <w:rFonts w:cs="Tahoma"/>
          <w:spacing w:val="0"/>
        </w:rPr>
      </w:pPr>
    </w:p>
    <w:p w14:paraId="24A0D895" w14:textId="24A36AF7" w:rsidR="00C11BE7" w:rsidRPr="00305AEB" w:rsidRDefault="00C11BE7" w:rsidP="00186726">
      <w:pPr>
        <w:pStyle w:val="Sottotitolo"/>
        <w:rPr>
          <w:rFonts w:cs="Tahoma"/>
          <w:spacing w:val="0"/>
        </w:rPr>
      </w:pPr>
      <w:bookmarkStart w:id="49" w:name="_Toc161933138"/>
      <w:r w:rsidRPr="00305AEB">
        <w:rPr>
          <w:rFonts w:cs="Tahoma"/>
          <w:spacing w:val="0"/>
        </w:rPr>
        <w:t>2.6 Prestazioni rese in via straordinaria in remote working</w:t>
      </w:r>
      <w:bookmarkEnd w:id="49"/>
    </w:p>
    <w:p w14:paraId="638BE5E1" w14:textId="77777777" w:rsidR="00F85041" w:rsidRPr="00305AEB" w:rsidRDefault="007263E6" w:rsidP="00186726">
      <w:pPr>
        <w:tabs>
          <w:tab w:val="left" w:pos="7371"/>
          <w:tab w:val="right" w:pos="8080"/>
        </w:tabs>
        <w:rPr>
          <w:rFonts w:cs="Tahoma"/>
          <w:szCs w:val="20"/>
        </w:rPr>
      </w:pPr>
      <w:r w:rsidRPr="00305AEB">
        <w:rPr>
          <w:rFonts w:cs="Tahoma"/>
          <w:szCs w:val="20"/>
        </w:rPr>
        <w:t>Nelle risposte rese a</w:t>
      </w:r>
      <w:r w:rsidR="00F85041" w:rsidRPr="00305AEB">
        <w:rPr>
          <w:rFonts w:cs="Tahoma"/>
          <w:szCs w:val="20"/>
        </w:rPr>
        <w:t xml:space="preserve"> </w:t>
      </w:r>
      <w:proofErr w:type="spellStart"/>
      <w:r w:rsidR="00F85041" w:rsidRPr="00305AEB">
        <w:rPr>
          <w:rFonts w:cs="Tahoma"/>
          <w:szCs w:val="20"/>
        </w:rPr>
        <w:t>Telefisco</w:t>
      </w:r>
      <w:proofErr w:type="spellEnd"/>
      <w:r w:rsidR="00F85041" w:rsidRPr="00305AEB">
        <w:rPr>
          <w:rFonts w:cs="Tahoma"/>
          <w:szCs w:val="20"/>
        </w:rPr>
        <w:t xml:space="preserve"> 2021</w:t>
      </w:r>
      <w:r w:rsidRPr="00305AEB">
        <w:rPr>
          <w:rFonts w:cs="Tahoma"/>
          <w:szCs w:val="20"/>
        </w:rPr>
        <w:t> l'Agenzia delle Entrate ha precisato che il principio per il quale i giorni lavorati nell'altro Stato per ragioni eccezionali si considerano come giorni lavorati nello Stato in cui ordinariamente era prestata l'attività lavorativa vale unicamente in presenza di appositi accordi amministrativi interpretativi dell'art. 15 del modello OCSE, e a condizione di reciprocità: si tratta dei soli accordi firmati dall'Italia con la</w:t>
      </w:r>
      <w:r w:rsidR="00F85041" w:rsidRPr="00305AEB">
        <w:rPr>
          <w:rFonts w:cs="Tahoma"/>
          <w:szCs w:val="20"/>
        </w:rPr>
        <w:t xml:space="preserve"> Francia e la Svizzera.</w:t>
      </w:r>
    </w:p>
    <w:p w14:paraId="2711418D" w14:textId="76778DE8" w:rsidR="007263E6" w:rsidRPr="00305AEB" w:rsidRDefault="007263E6" w:rsidP="00186726">
      <w:pPr>
        <w:tabs>
          <w:tab w:val="left" w:pos="7371"/>
          <w:tab w:val="right" w:pos="8080"/>
        </w:tabs>
        <w:rPr>
          <w:rFonts w:cs="Tahoma"/>
          <w:szCs w:val="20"/>
        </w:rPr>
      </w:pPr>
      <w:r w:rsidRPr="00305AEB">
        <w:rPr>
          <w:rFonts w:cs="Tahoma"/>
          <w:szCs w:val="20"/>
        </w:rPr>
        <w:t>Al di fuori di questi casi, si considerano i giorni trascorsi effettivamente in ciascuno Stato, anche ai fini:</w:t>
      </w:r>
    </w:p>
    <w:p w14:paraId="5C0C93CA" w14:textId="5DAD0821" w:rsidR="007263E6" w:rsidRPr="00305AEB" w:rsidRDefault="007263E6" w:rsidP="00186726">
      <w:pPr>
        <w:pStyle w:val="Paragrafoelenco"/>
        <w:numPr>
          <w:ilvl w:val="0"/>
          <w:numId w:val="73"/>
        </w:numPr>
        <w:tabs>
          <w:tab w:val="left" w:pos="7371"/>
          <w:tab w:val="right" w:pos="8080"/>
        </w:tabs>
        <w:rPr>
          <w:rFonts w:cs="Tahoma"/>
          <w:szCs w:val="20"/>
        </w:rPr>
      </w:pPr>
      <w:r w:rsidRPr="00305AEB">
        <w:rPr>
          <w:rFonts w:cs="Tahoma"/>
          <w:szCs w:val="20"/>
        </w:rPr>
        <w:t>della valutazione della residenza fiscale della persona (risposta interpello</w:t>
      </w:r>
      <w:r w:rsidR="00F85041" w:rsidRPr="00305AEB">
        <w:rPr>
          <w:rFonts w:cs="Tahoma"/>
          <w:szCs w:val="20"/>
        </w:rPr>
        <w:t xml:space="preserve"> n. 458 del</w:t>
      </w:r>
      <w:r w:rsidRPr="00305AEB">
        <w:rPr>
          <w:rFonts w:cs="Tahoma"/>
          <w:szCs w:val="20"/>
        </w:rPr>
        <w:t xml:space="preserve"> 7.7.2021);</w:t>
      </w:r>
    </w:p>
    <w:p w14:paraId="698E96DB" w14:textId="228B7DC8" w:rsidR="007263E6" w:rsidRPr="00305AEB" w:rsidRDefault="007263E6" w:rsidP="00186726">
      <w:pPr>
        <w:pStyle w:val="Paragrafoelenco"/>
        <w:numPr>
          <w:ilvl w:val="0"/>
          <w:numId w:val="73"/>
        </w:numPr>
        <w:tabs>
          <w:tab w:val="left" w:pos="7371"/>
          <w:tab w:val="right" w:pos="8080"/>
        </w:tabs>
        <w:rPr>
          <w:rFonts w:cs="Tahoma"/>
          <w:szCs w:val="20"/>
        </w:rPr>
      </w:pPr>
      <w:r w:rsidRPr="00305AEB">
        <w:rPr>
          <w:rFonts w:cs="Tahoma"/>
          <w:szCs w:val="20"/>
        </w:rPr>
        <w:t>della valutazione della territorialità dei redditi (risposta interpello</w:t>
      </w:r>
      <w:r w:rsidR="00F85041" w:rsidRPr="00305AEB">
        <w:rPr>
          <w:rFonts w:cs="Tahoma"/>
          <w:szCs w:val="20"/>
        </w:rPr>
        <w:t xml:space="preserve"> n. 626 del </w:t>
      </w:r>
      <w:r w:rsidRPr="00305AEB">
        <w:rPr>
          <w:rFonts w:cs="Tahoma"/>
          <w:szCs w:val="20"/>
        </w:rPr>
        <w:t xml:space="preserve"> 27.9.2021);</w:t>
      </w:r>
    </w:p>
    <w:p w14:paraId="1E3E2DAC" w14:textId="26F97130" w:rsidR="007263E6" w:rsidRPr="00305AEB" w:rsidRDefault="007263E6" w:rsidP="00186726">
      <w:pPr>
        <w:pStyle w:val="Paragrafoelenco"/>
        <w:numPr>
          <w:ilvl w:val="0"/>
          <w:numId w:val="73"/>
        </w:numPr>
        <w:tabs>
          <w:tab w:val="left" w:pos="7371"/>
          <w:tab w:val="right" w:pos="8080"/>
        </w:tabs>
        <w:rPr>
          <w:rFonts w:cs="Tahoma"/>
          <w:szCs w:val="20"/>
        </w:rPr>
      </w:pPr>
      <w:r w:rsidRPr="00305AEB">
        <w:rPr>
          <w:rFonts w:cs="Tahoma"/>
          <w:szCs w:val="20"/>
        </w:rPr>
        <w:t>dell'applicazione delle retribuzioni convenzionali (risposte interpello</w:t>
      </w:r>
      <w:r w:rsidR="00F85041" w:rsidRPr="00305AEB">
        <w:rPr>
          <w:rFonts w:cs="Tahoma"/>
          <w:szCs w:val="20"/>
        </w:rPr>
        <w:t xml:space="preserve"> n. 345 del</w:t>
      </w:r>
      <w:r w:rsidRPr="00305AEB">
        <w:rPr>
          <w:rFonts w:cs="Tahoma"/>
          <w:szCs w:val="20"/>
        </w:rPr>
        <w:t xml:space="preserve"> 17.5.2021,</w:t>
      </w:r>
      <w:r w:rsidR="00F85041" w:rsidRPr="00305AEB">
        <w:rPr>
          <w:rFonts w:cs="Tahoma"/>
          <w:szCs w:val="20"/>
        </w:rPr>
        <w:t xml:space="preserve"> n. 458 del</w:t>
      </w:r>
      <w:r w:rsidRPr="00305AEB">
        <w:rPr>
          <w:rFonts w:cs="Tahoma"/>
          <w:szCs w:val="20"/>
        </w:rPr>
        <w:t xml:space="preserve"> 7.7.2021 e </w:t>
      </w:r>
      <w:r w:rsidR="00F85041" w:rsidRPr="00305AEB">
        <w:rPr>
          <w:rFonts w:cs="Tahoma"/>
          <w:szCs w:val="20"/>
        </w:rPr>
        <w:t xml:space="preserve">n. 590 del </w:t>
      </w:r>
      <w:r w:rsidRPr="00305AEB">
        <w:rPr>
          <w:rFonts w:cs="Tahoma"/>
          <w:szCs w:val="20"/>
        </w:rPr>
        <w:t>15.9.2021). </w:t>
      </w:r>
    </w:p>
    <w:p w14:paraId="2C4BF787" w14:textId="77777777" w:rsidR="008D15F0" w:rsidRPr="00305AEB" w:rsidRDefault="008D15F0" w:rsidP="00186726">
      <w:pPr>
        <w:tabs>
          <w:tab w:val="left" w:pos="7371"/>
          <w:tab w:val="right" w:pos="8080"/>
        </w:tabs>
        <w:rPr>
          <w:rFonts w:cs="Tahoma"/>
          <w:szCs w:val="20"/>
        </w:rPr>
      </w:pPr>
    </w:p>
    <w:p w14:paraId="7963D1AD" w14:textId="77777777" w:rsidR="008D15F0" w:rsidRPr="00305AEB" w:rsidRDefault="008D15F0" w:rsidP="00186726">
      <w:pPr>
        <w:tabs>
          <w:tab w:val="left" w:pos="7371"/>
          <w:tab w:val="right" w:pos="8080"/>
        </w:tabs>
        <w:rPr>
          <w:rFonts w:cs="Tahoma"/>
          <w:szCs w:val="20"/>
        </w:rPr>
      </w:pPr>
    </w:p>
    <w:p w14:paraId="056FDFAC" w14:textId="77777777" w:rsidR="008D15F0" w:rsidRPr="00305AEB" w:rsidRDefault="008D15F0" w:rsidP="00186726">
      <w:pPr>
        <w:tabs>
          <w:tab w:val="left" w:pos="7371"/>
          <w:tab w:val="right" w:pos="8080"/>
        </w:tabs>
        <w:rPr>
          <w:rFonts w:cs="Tahoma"/>
          <w:szCs w:val="20"/>
        </w:rPr>
      </w:pPr>
    </w:p>
    <w:p w14:paraId="33349925" w14:textId="77777777" w:rsidR="007630E9" w:rsidRPr="00305AEB" w:rsidRDefault="007630E9" w:rsidP="00186726">
      <w:pPr>
        <w:rPr>
          <w:rFonts w:cs="Tahoma"/>
          <w:bCs/>
          <w:color w:val="404040"/>
          <w:sz w:val="40"/>
          <w:szCs w:val="40"/>
        </w:rPr>
        <w:sectPr w:rsidR="007630E9" w:rsidRPr="00305AEB" w:rsidSect="00471E5B">
          <w:pgSz w:w="11906" w:h="16838" w:code="9"/>
          <w:pgMar w:top="1418" w:right="1418" w:bottom="510" w:left="1276" w:header="709" w:footer="567" w:gutter="0"/>
          <w:pgNumType w:chapStyle="1"/>
          <w:cols w:space="708"/>
          <w:titlePg/>
          <w:docGrid w:linePitch="360"/>
        </w:sectPr>
      </w:pPr>
      <w:bookmarkStart w:id="50" w:name="_Toc441597029"/>
      <w:bookmarkStart w:id="51" w:name="_Toc441598925"/>
      <w:bookmarkStart w:id="52" w:name="_Toc441599353"/>
      <w:bookmarkStart w:id="53" w:name="_Toc441600347"/>
      <w:bookmarkStart w:id="54" w:name="_Toc515199968"/>
      <w:bookmarkStart w:id="55" w:name="_Toc526517343"/>
    </w:p>
    <w:bookmarkStart w:id="56" w:name="_Toc441598926"/>
    <w:bookmarkStart w:id="57" w:name="_Toc441599354"/>
    <w:bookmarkStart w:id="58" w:name="_Toc161933139"/>
    <w:p w14:paraId="7C55F8D7" w14:textId="2AA23052" w:rsidR="008D15F0" w:rsidRPr="00E74279" w:rsidRDefault="00BD0AC3" w:rsidP="00E74279">
      <w:pPr>
        <w:pStyle w:val="Titolo1"/>
      </w:pPr>
      <w:r w:rsidRPr="00186726">
        <w:rPr>
          <w:noProof/>
        </w:rPr>
        <w:lastRenderedPageBreak/>
        <mc:AlternateContent>
          <mc:Choice Requires="wps">
            <w:drawing>
              <wp:anchor distT="0" distB="0" distL="114300" distR="114300" simplePos="0" relativeHeight="251646464" behindDoc="0" locked="0" layoutInCell="1" allowOverlap="1" wp14:anchorId="77245FE3" wp14:editId="2B248C23">
                <wp:simplePos x="0" y="0"/>
                <wp:positionH relativeFrom="margin">
                  <wp:align>center</wp:align>
                </wp:positionH>
                <wp:positionV relativeFrom="paragraph">
                  <wp:posOffset>290195</wp:posOffset>
                </wp:positionV>
                <wp:extent cx="2438400" cy="0"/>
                <wp:effectExtent l="0" t="0" r="0" b="0"/>
                <wp:wrapNone/>
                <wp:docPr id="28"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19050">
                          <a:solidFill>
                            <a:srgbClr val="40404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19C5EE" id="AutoShape 122" o:spid="_x0000_s1026" type="#_x0000_t32" style="position:absolute;margin-left:0;margin-top:22.85pt;width:192pt;height:0;z-index:2516464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" strokecolor="#404040" strokeweight="1.5pt">
                <w10:wrap anchorx="margin"/>
              </v:shape>
            </w:pict>
          </mc:Fallback>
        </mc:AlternateContent>
      </w:r>
      <w:bookmarkEnd w:id="56"/>
      <w:bookmarkEnd w:id="57"/>
      <w:r w:rsidR="008D15F0" w:rsidRPr="00E74279">
        <w:t>3.</w:t>
      </w:r>
      <w:bookmarkEnd w:id="50"/>
      <w:bookmarkEnd w:id="51"/>
      <w:bookmarkEnd w:id="52"/>
      <w:bookmarkEnd w:id="53"/>
      <w:bookmarkEnd w:id="54"/>
      <w:bookmarkEnd w:id="55"/>
      <w:r w:rsidRPr="007177D8">
        <w:br/>
      </w:r>
      <w:r w:rsidR="008D15F0" w:rsidRPr="00186726">
        <w:t>I redditi degli immobili esteri</w:t>
      </w:r>
      <w:bookmarkEnd w:id="58"/>
    </w:p>
    <w:p w14:paraId="09384778" w14:textId="77777777" w:rsidR="008D15F0" w:rsidRPr="00305AEB" w:rsidRDefault="008D15F0" w:rsidP="00186726">
      <w:pPr>
        <w:rPr>
          <w:rFonts w:cs="Tahoma"/>
        </w:rPr>
      </w:pPr>
    </w:p>
    <w:p w14:paraId="4F1A87B5" w14:textId="77777777" w:rsidR="008D15F0" w:rsidRPr="00305AEB" w:rsidRDefault="008D15F0" w:rsidP="00186726">
      <w:pPr>
        <w:rPr>
          <w:rFonts w:cs="Tahoma"/>
        </w:rPr>
      </w:pPr>
    </w:p>
    <w:p w14:paraId="47D4FEAC" w14:textId="03E3E90D" w:rsidR="008D15F0" w:rsidRPr="00305AEB" w:rsidRDefault="008D15F0" w:rsidP="00186726">
      <w:pPr>
        <w:rPr>
          <w:rFonts w:cs="Tahoma"/>
        </w:rPr>
      </w:pPr>
    </w:p>
    <w:p w14:paraId="59704B92" w14:textId="3FA51C9C" w:rsidR="007630E9" w:rsidRPr="00305AEB" w:rsidRDefault="007630E9" w:rsidP="00186726">
      <w:pPr>
        <w:rPr>
          <w:rFonts w:cs="Tahoma"/>
        </w:rPr>
      </w:pPr>
    </w:p>
    <w:p w14:paraId="3C476D2E" w14:textId="13297635" w:rsidR="007630E9" w:rsidRPr="00305AEB" w:rsidRDefault="007630E9" w:rsidP="00186726">
      <w:pPr>
        <w:rPr>
          <w:rFonts w:cs="Tahoma"/>
        </w:rPr>
      </w:pPr>
    </w:p>
    <w:p w14:paraId="0E47A8D3" w14:textId="77777777" w:rsidR="007630E9" w:rsidRPr="00305AEB" w:rsidRDefault="007630E9" w:rsidP="00186726">
      <w:pPr>
        <w:rPr>
          <w:rFonts w:cs="Tahoma"/>
        </w:rPr>
      </w:pPr>
    </w:p>
    <w:p w14:paraId="513AF71B" w14:textId="77777777" w:rsidR="008D15F0" w:rsidRPr="00305AEB" w:rsidRDefault="008D15F0" w:rsidP="00186726">
      <w:pPr>
        <w:pStyle w:val="Sottotitolo"/>
        <w:rPr>
          <w:rFonts w:cs="Tahoma"/>
          <w:spacing w:val="0"/>
        </w:rPr>
      </w:pPr>
      <w:bookmarkStart w:id="59" w:name="_Toc441597031"/>
      <w:bookmarkStart w:id="60" w:name="_Toc441598927"/>
      <w:bookmarkStart w:id="61" w:name="_Toc441599355"/>
      <w:bookmarkStart w:id="62" w:name="_Toc161933140"/>
      <w:r w:rsidRPr="00FB1FE8">
        <w:rPr>
          <w:rFonts w:cs="Tahoma"/>
          <w:spacing w:val="0"/>
        </w:rPr>
        <w:t xml:space="preserve">3.1 </w:t>
      </w:r>
      <w:bookmarkEnd w:id="59"/>
      <w:bookmarkEnd w:id="60"/>
      <w:bookmarkEnd w:id="61"/>
      <w:r w:rsidRPr="00FB1FE8">
        <w:rPr>
          <w:rFonts w:cs="Tahoma"/>
          <w:spacing w:val="0"/>
        </w:rPr>
        <w:t>Premessa</w:t>
      </w:r>
      <w:bookmarkEnd w:id="62"/>
    </w:p>
    <w:p w14:paraId="5E26B2DB" w14:textId="77777777" w:rsidR="008D15F0" w:rsidRPr="00305AEB" w:rsidRDefault="008D15F0" w:rsidP="00186726">
      <w:pPr>
        <w:tabs>
          <w:tab w:val="left" w:pos="7371"/>
          <w:tab w:val="right" w:pos="8080"/>
        </w:tabs>
        <w:rPr>
          <w:rFonts w:cs="Tahoma"/>
          <w:szCs w:val="20"/>
        </w:rPr>
      </w:pPr>
      <w:r w:rsidRPr="00305AEB">
        <w:rPr>
          <w:rFonts w:cs="Tahoma"/>
          <w:szCs w:val="20"/>
        </w:rPr>
        <w:t xml:space="preserve">Il possesso o la cessione di immobili esteri può essere produttivo di redditi imponibili in Italia (art. 3 del TUIR). </w:t>
      </w:r>
    </w:p>
    <w:p w14:paraId="0DA8528E" w14:textId="77777777" w:rsidR="008D15F0" w:rsidRPr="00305AEB" w:rsidRDefault="008D15F0" w:rsidP="00186726">
      <w:pPr>
        <w:tabs>
          <w:tab w:val="left" w:pos="7371"/>
          <w:tab w:val="right" w:pos="8080"/>
        </w:tabs>
        <w:rPr>
          <w:rFonts w:cs="Tahoma"/>
          <w:szCs w:val="20"/>
        </w:rPr>
      </w:pPr>
      <w:r w:rsidRPr="00305AEB">
        <w:rPr>
          <w:rFonts w:cs="Tahoma"/>
          <w:szCs w:val="20"/>
        </w:rPr>
        <w:t>Si ricorda inoltre che il possesso di tali immobili:</w:t>
      </w:r>
    </w:p>
    <w:p w14:paraId="0D73C0A5" w14:textId="77777777" w:rsidR="008D15F0" w:rsidRPr="00305AEB" w:rsidRDefault="008D15F0" w:rsidP="00186726">
      <w:pPr>
        <w:pStyle w:val="Paragrafoelenco"/>
        <w:numPr>
          <w:ilvl w:val="0"/>
          <w:numId w:val="22"/>
        </w:numPr>
        <w:tabs>
          <w:tab w:val="left" w:pos="7371"/>
          <w:tab w:val="right" w:pos="8080"/>
        </w:tabs>
        <w:rPr>
          <w:rFonts w:cs="Tahoma"/>
          <w:szCs w:val="20"/>
        </w:rPr>
      </w:pPr>
      <w:r w:rsidRPr="00305AEB">
        <w:rPr>
          <w:rFonts w:cs="Tahoma"/>
          <w:szCs w:val="20"/>
        </w:rPr>
        <w:t>prevede la compilazione del quadro RW ai fini del monitoraggio fiscale;</w:t>
      </w:r>
    </w:p>
    <w:p w14:paraId="2CB2301E" w14:textId="77777777" w:rsidR="008D15F0" w:rsidRPr="00305AEB" w:rsidRDefault="008D15F0" w:rsidP="00186726">
      <w:pPr>
        <w:pStyle w:val="Paragrafoelenco"/>
        <w:numPr>
          <w:ilvl w:val="0"/>
          <w:numId w:val="22"/>
        </w:numPr>
        <w:tabs>
          <w:tab w:val="left" w:pos="7371"/>
          <w:tab w:val="right" w:pos="8080"/>
        </w:tabs>
        <w:rPr>
          <w:rFonts w:cs="Tahoma"/>
          <w:szCs w:val="20"/>
        </w:rPr>
      </w:pPr>
      <w:r w:rsidRPr="00305AEB">
        <w:rPr>
          <w:rFonts w:cs="Tahoma"/>
          <w:szCs w:val="20"/>
        </w:rPr>
        <w:t>da parte di persone fisiche residenti sconta l’IVIE, ovvero un’imposta patrimoniale sugli immobili detenuti all’estero</w:t>
      </w:r>
      <w:r w:rsidRPr="00305AEB">
        <w:rPr>
          <w:rStyle w:val="Rimandonotaapidipagina"/>
          <w:rFonts w:cs="Tahoma"/>
        </w:rPr>
        <w:footnoteReference w:id="1"/>
      </w:r>
      <w:r w:rsidRPr="00305AEB">
        <w:rPr>
          <w:rFonts w:cs="Tahoma"/>
          <w:szCs w:val="20"/>
        </w:rPr>
        <w:t>.</w:t>
      </w:r>
    </w:p>
    <w:p w14:paraId="4AECAEE3" w14:textId="77777777" w:rsidR="008D15F0" w:rsidRPr="00305AEB" w:rsidRDefault="008D15F0" w:rsidP="00186726">
      <w:pPr>
        <w:tabs>
          <w:tab w:val="left" w:pos="7371"/>
          <w:tab w:val="right" w:pos="8080"/>
        </w:tabs>
        <w:rPr>
          <w:rFonts w:cs="Tahoma"/>
          <w:szCs w:val="20"/>
        </w:rPr>
      </w:pPr>
    </w:p>
    <w:p w14:paraId="74FE18F2" w14:textId="77777777" w:rsidR="008D15F0" w:rsidRPr="00305AEB" w:rsidRDefault="008D15F0" w:rsidP="00186726">
      <w:pPr>
        <w:pStyle w:val="Sottotitolo"/>
        <w:rPr>
          <w:rFonts w:cs="Tahoma"/>
          <w:spacing w:val="0"/>
        </w:rPr>
      </w:pPr>
      <w:bookmarkStart w:id="63" w:name="_Toc161933141"/>
      <w:r w:rsidRPr="00305AEB">
        <w:rPr>
          <w:rFonts w:cs="Tahoma"/>
          <w:spacing w:val="0"/>
        </w:rPr>
        <w:t>3.2 Reddito degli immobili situati all’estero</w:t>
      </w:r>
      <w:bookmarkEnd w:id="63"/>
    </w:p>
    <w:p w14:paraId="530FFDFD" w14:textId="77777777" w:rsidR="008D15F0" w:rsidRPr="00305AEB" w:rsidRDefault="008D15F0" w:rsidP="00186726">
      <w:pPr>
        <w:tabs>
          <w:tab w:val="left" w:pos="7371"/>
          <w:tab w:val="right" w:pos="8080"/>
        </w:tabs>
        <w:rPr>
          <w:rFonts w:cs="Tahoma"/>
          <w:szCs w:val="20"/>
        </w:rPr>
      </w:pPr>
      <w:r w:rsidRPr="00305AEB">
        <w:rPr>
          <w:rFonts w:cs="Tahoma"/>
          <w:szCs w:val="20"/>
        </w:rPr>
        <w:t>I redditi degli immobili situati all’estero imputabili a soggetti che non svolgono attività di impresa sono considerati redditi diversi (art. 67, comma 1, lett. f) del TUIR).</w:t>
      </w:r>
    </w:p>
    <w:p w14:paraId="278FB957" w14:textId="77777777" w:rsidR="008D15F0" w:rsidRPr="00305AEB" w:rsidRDefault="008D15F0" w:rsidP="00186726">
      <w:pPr>
        <w:tabs>
          <w:tab w:val="left" w:pos="7371"/>
          <w:tab w:val="right" w:pos="8080"/>
        </w:tabs>
        <w:rPr>
          <w:rFonts w:cs="Tahoma"/>
          <w:szCs w:val="20"/>
        </w:rPr>
      </w:pPr>
      <w:r w:rsidRPr="00305AEB">
        <w:rPr>
          <w:rFonts w:cs="Tahoma"/>
          <w:szCs w:val="20"/>
        </w:rPr>
        <w:t>L’articolo del TUIR che individua i criteri di imposizione è l’art. 70, comma 2. Tale norma consente di individuare le seguenti casistiche:</w:t>
      </w:r>
    </w:p>
    <w:p w14:paraId="4FC5FDB2" w14:textId="77777777" w:rsidR="008D15F0" w:rsidRPr="00305AEB" w:rsidRDefault="008D15F0" w:rsidP="00186726">
      <w:pPr>
        <w:pStyle w:val="Paragrafoelenco"/>
        <w:numPr>
          <w:ilvl w:val="0"/>
          <w:numId w:val="23"/>
        </w:numPr>
        <w:tabs>
          <w:tab w:val="left" w:pos="7371"/>
          <w:tab w:val="right" w:pos="8080"/>
        </w:tabs>
        <w:rPr>
          <w:rFonts w:cs="Tahoma"/>
          <w:szCs w:val="20"/>
        </w:rPr>
      </w:pPr>
      <w:r w:rsidRPr="00305AEB">
        <w:rPr>
          <w:rFonts w:cs="Tahoma"/>
          <w:szCs w:val="20"/>
        </w:rPr>
        <w:t xml:space="preserve">immobili non produttivi di reddito, intendendo per tali gli immobili non locati né sottoposti a tassazione all’estero; </w:t>
      </w:r>
    </w:p>
    <w:p w14:paraId="79A26D41" w14:textId="77777777" w:rsidR="008D15F0" w:rsidRPr="00305AEB" w:rsidRDefault="008D15F0" w:rsidP="00186726">
      <w:pPr>
        <w:pStyle w:val="Paragrafoelenco"/>
        <w:numPr>
          <w:ilvl w:val="0"/>
          <w:numId w:val="23"/>
        </w:numPr>
        <w:tabs>
          <w:tab w:val="left" w:pos="7371"/>
          <w:tab w:val="right" w:pos="8080"/>
        </w:tabs>
        <w:rPr>
          <w:rFonts w:cs="Tahoma"/>
          <w:szCs w:val="20"/>
        </w:rPr>
      </w:pPr>
      <w:r w:rsidRPr="00305AEB">
        <w:rPr>
          <w:rFonts w:cs="Tahoma"/>
          <w:szCs w:val="20"/>
        </w:rPr>
        <w:t>immobile non locato ma lo Stato estero prevede una tassazione;</w:t>
      </w:r>
    </w:p>
    <w:p w14:paraId="67463D6A" w14:textId="77777777" w:rsidR="008D15F0" w:rsidRPr="00305AEB" w:rsidRDefault="008D15F0" w:rsidP="00186726">
      <w:pPr>
        <w:pStyle w:val="Paragrafoelenco"/>
        <w:numPr>
          <w:ilvl w:val="0"/>
          <w:numId w:val="23"/>
        </w:numPr>
        <w:tabs>
          <w:tab w:val="left" w:pos="7371"/>
          <w:tab w:val="right" w:pos="8080"/>
        </w:tabs>
        <w:rPr>
          <w:rFonts w:cs="Tahoma"/>
          <w:szCs w:val="20"/>
        </w:rPr>
      </w:pPr>
      <w:r w:rsidRPr="00305AEB">
        <w:rPr>
          <w:rFonts w:cs="Tahoma"/>
          <w:szCs w:val="20"/>
        </w:rPr>
        <w:lastRenderedPageBreak/>
        <w:t>immobile locato e lo Stato estero prevede la tassazione di tali redditi;</w:t>
      </w:r>
    </w:p>
    <w:p w14:paraId="0CAEED71" w14:textId="77777777" w:rsidR="008D15F0" w:rsidRPr="00305AEB" w:rsidRDefault="008D15F0" w:rsidP="00186726">
      <w:pPr>
        <w:pStyle w:val="Paragrafoelenco"/>
        <w:numPr>
          <w:ilvl w:val="0"/>
          <w:numId w:val="23"/>
        </w:numPr>
        <w:tabs>
          <w:tab w:val="left" w:pos="7371"/>
          <w:tab w:val="right" w:pos="8080"/>
        </w:tabs>
        <w:rPr>
          <w:rFonts w:cs="Tahoma"/>
          <w:szCs w:val="20"/>
        </w:rPr>
      </w:pPr>
      <w:r w:rsidRPr="00305AEB">
        <w:rPr>
          <w:rFonts w:cs="Tahoma"/>
          <w:szCs w:val="20"/>
        </w:rPr>
        <w:t>immobile locato e lo Stato estero non prevede la tassazione di tali redditi.</w:t>
      </w:r>
    </w:p>
    <w:p w14:paraId="2DD7CB0A" w14:textId="77777777" w:rsidR="008D15F0" w:rsidRPr="00305AEB" w:rsidRDefault="008D15F0" w:rsidP="00186726">
      <w:pPr>
        <w:tabs>
          <w:tab w:val="left" w:pos="7371"/>
          <w:tab w:val="right" w:pos="8080"/>
        </w:tabs>
        <w:rPr>
          <w:rFonts w:cs="Tahoma"/>
          <w:szCs w:val="20"/>
        </w:rPr>
      </w:pPr>
      <w:r w:rsidRPr="00305AEB">
        <w:rPr>
          <w:rFonts w:cs="Tahoma"/>
          <w:szCs w:val="20"/>
        </w:rPr>
        <w:t>Si tenga presente che le casistiche citate valgono sia per i terreni che per i fabbricati posseduti all’estero.</w:t>
      </w:r>
    </w:p>
    <w:p w14:paraId="4A9500F2" w14:textId="77777777" w:rsidR="0069364A" w:rsidRPr="00305AEB" w:rsidRDefault="0069364A" w:rsidP="00186726">
      <w:pPr>
        <w:pStyle w:val="NUOVOSOTTOPARAGRAFO"/>
        <w:rPr>
          <w:rFonts w:eastAsiaTheme="minorEastAsia" w:cs="Tahoma"/>
          <w:sz w:val="32"/>
          <w:szCs w:val="32"/>
        </w:rPr>
      </w:pPr>
    </w:p>
    <w:p w14:paraId="5152143D" w14:textId="77777777" w:rsidR="008D15F0" w:rsidRPr="00305AEB" w:rsidRDefault="008D15F0" w:rsidP="00186726">
      <w:pPr>
        <w:pStyle w:val="NUOVOSOTTOPARAGRAFO"/>
        <w:rPr>
          <w:rFonts w:cs="Tahoma"/>
        </w:rPr>
      </w:pPr>
      <w:bookmarkStart w:id="64" w:name="_Toc161933142"/>
      <w:r w:rsidRPr="00305AEB">
        <w:rPr>
          <w:rFonts w:cs="Tahoma"/>
        </w:rPr>
        <w:t>3.2.1 Immobili non produttivi di reddito</w:t>
      </w:r>
      <w:bookmarkEnd w:id="64"/>
    </w:p>
    <w:p w14:paraId="54DF3735" w14:textId="77777777" w:rsidR="008D15F0" w:rsidRPr="00305AEB" w:rsidRDefault="008D15F0" w:rsidP="00186726">
      <w:pPr>
        <w:tabs>
          <w:tab w:val="left" w:pos="7371"/>
          <w:tab w:val="right" w:pos="8080"/>
        </w:tabs>
        <w:rPr>
          <w:rFonts w:cs="Tahoma"/>
          <w:szCs w:val="20"/>
        </w:rPr>
      </w:pPr>
      <w:r w:rsidRPr="00305AEB">
        <w:rPr>
          <w:rFonts w:cs="Tahoma"/>
          <w:szCs w:val="20"/>
        </w:rPr>
        <w:t>Nel caso di immobili non locati né sottoposti a tassazione all’estero, il contribuente non dovrà procedere a dichiarare alcun reddito in Italia.</w:t>
      </w:r>
    </w:p>
    <w:p w14:paraId="1255DE4C" w14:textId="77777777" w:rsidR="0069364A" w:rsidRPr="00305AEB" w:rsidRDefault="0069364A" w:rsidP="00186726">
      <w:pPr>
        <w:pStyle w:val="NUOVOSOTTOPARAGRAFO"/>
        <w:rPr>
          <w:rFonts w:eastAsiaTheme="minorEastAsia" w:cs="Tahoma"/>
          <w:sz w:val="32"/>
          <w:szCs w:val="32"/>
        </w:rPr>
      </w:pPr>
    </w:p>
    <w:p w14:paraId="033DCE9F" w14:textId="77777777" w:rsidR="008D15F0" w:rsidRPr="00305AEB" w:rsidRDefault="008D15F0" w:rsidP="00186726">
      <w:pPr>
        <w:pStyle w:val="NUOVOSOTTOPARAGRAFO"/>
        <w:rPr>
          <w:rFonts w:cs="Tahoma"/>
        </w:rPr>
      </w:pPr>
      <w:bookmarkStart w:id="65" w:name="_Toc161933143"/>
      <w:r w:rsidRPr="00305AEB">
        <w:rPr>
          <w:rFonts w:cs="Tahoma"/>
        </w:rPr>
        <w:t>3.2.2 Immobile non locato e lo Stato estero prevede una tassazione</w:t>
      </w:r>
      <w:bookmarkEnd w:id="65"/>
    </w:p>
    <w:p w14:paraId="752C6866" w14:textId="77777777" w:rsidR="008D15F0" w:rsidRPr="00305AEB" w:rsidRDefault="008D15F0" w:rsidP="00186726">
      <w:pPr>
        <w:tabs>
          <w:tab w:val="left" w:pos="7371"/>
          <w:tab w:val="right" w:pos="8080"/>
        </w:tabs>
        <w:rPr>
          <w:rFonts w:cs="Tahoma"/>
          <w:szCs w:val="20"/>
        </w:rPr>
      </w:pPr>
      <w:r w:rsidRPr="00305AEB">
        <w:rPr>
          <w:rFonts w:cs="Tahoma"/>
          <w:szCs w:val="20"/>
        </w:rPr>
        <w:t>Nel caso di immobili non locati ma che sono tassati all’estero, il contribuente dovrà far concorrere alla formazione del reddito in Italia il reddito determinato in base alla normativa dello Stato estero.</w:t>
      </w:r>
    </w:p>
    <w:p w14:paraId="43AE0B91" w14:textId="77777777" w:rsidR="008D15F0" w:rsidRPr="00305AEB" w:rsidRDefault="008D15F0" w:rsidP="00186726">
      <w:pPr>
        <w:tabs>
          <w:tab w:val="left" w:pos="7371"/>
          <w:tab w:val="right" w:pos="8080"/>
        </w:tabs>
        <w:rPr>
          <w:rFonts w:cs="Tahoma"/>
          <w:szCs w:val="20"/>
        </w:rPr>
      </w:pPr>
      <w:r w:rsidRPr="00305AEB">
        <w:rPr>
          <w:rFonts w:cs="Tahoma"/>
          <w:szCs w:val="20"/>
        </w:rPr>
        <w:t xml:space="preserve">La Legge n. 228/2012 ha introdotto il disposto del nuovo comma 15-ter dell’art. 19 del DL 201/2011 secondo cui, per gli immobili esteri adibiti ad abitazione principale e per gli immobili non locati assoggettati all’IVIE, non si applica l’art. 70 comma 2 del TUIR. </w:t>
      </w:r>
    </w:p>
    <w:p w14:paraId="06FE837C" w14:textId="77777777" w:rsidR="008D15F0" w:rsidRPr="00305AEB" w:rsidRDefault="0069364A" w:rsidP="00186726">
      <w:pPr>
        <w:tabs>
          <w:tab w:val="left" w:pos="7371"/>
          <w:tab w:val="right" w:pos="8080"/>
        </w:tabs>
        <w:rPr>
          <w:rFonts w:cs="Tahoma"/>
          <w:szCs w:val="20"/>
        </w:rPr>
      </w:pPr>
      <w:r w:rsidRPr="00305AEB">
        <w:rPr>
          <w:rFonts w:cs="Tahoma"/>
          <w:szCs w:val="20"/>
        </w:rPr>
        <w:t>È</w:t>
      </w:r>
      <w:r w:rsidR="008D15F0" w:rsidRPr="00305AEB">
        <w:rPr>
          <w:rFonts w:cs="Tahoma"/>
          <w:szCs w:val="20"/>
        </w:rPr>
        <w:t xml:space="preserve"> stata eliminata la concorrenza di tali immobili alle imposte sui redditi, come già avviene per gli immobili “italiani” soggetti ad IMU.</w:t>
      </w:r>
    </w:p>
    <w:p w14:paraId="6D06DC4C" w14:textId="77777777" w:rsidR="008D15F0" w:rsidRPr="00305AEB" w:rsidRDefault="008D15F0" w:rsidP="00186726">
      <w:pPr>
        <w:tabs>
          <w:tab w:val="left" w:pos="7371"/>
          <w:tab w:val="right" w:pos="8080"/>
        </w:tabs>
        <w:rPr>
          <w:rFonts w:cs="Tahoma"/>
          <w:szCs w:val="20"/>
        </w:rPr>
      </w:pPr>
      <w:r w:rsidRPr="00305AEB">
        <w:rPr>
          <w:rFonts w:cs="Tahoma"/>
          <w:szCs w:val="20"/>
        </w:rPr>
        <w:t>Nel caso in cui lo Stato estero preveda, nella sua legislazione interna, la tassazione dell’immobile in base a criteri di tipo catastale o similari, tale ammontare non concorrerà alla formazione del reddito in Italia in base alla valutazione effettuata dallo Stato estero se l’immobile è soggetto all’IVIE (e non sarà necessario compilare la dichiarazione dei redditi al riguardo; si veda la C.M. n. 13/E del 2013, paragrafo 5.2).</w:t>
      </w:r>
    </w:p>
    <w:p w14:paraId="3B3E4EEA" w14:textId="77777777" w:rsidR="008D15F0" w:rsidRPr="00305AEB" w:rsidRDefault="008D15F0" w:rsidP="00186726">
      <w:pPr>
        <w:tabs>
          <w:tab w:val="left" w:pos="7371"/>
          <w:tab w:val="right" w:pos="8080"/>
        </w:tabs>
        <w:rPr>
          <w:rFonts w:cs="Tahoma"/>
          <w:szCs w:val="20"/>
        </w:rPr>
      </w:pPr>
      <w:r w:rsidRPr="00305AEB">
        <w:rPr>
          <w:rFonts w:cs="Tahoma"/>
          <w:szCs w:val="20"/>
        </w:rPr>
        <w:t>Si tenga presente che al contribuente spetta, inoltre, il credito per le imposte pagate all’estero, secondo il meccanismo dell’art. 165 del TUIR.</w:t>
      </w:r>
    </w:p>
    <w:p w14:paraId="4AED1D11" w14:textId="77777777" w:rsidR="00E22CE6" w:rsidRDefault="00E22CE6" w:rsidP="00186726">
      <w:pPr>
        <w:pStyle w:val="NUOVOSOTTOPARAGRAFO"/>
        <w:rPr>
          <w:rFonts w:cs="Tahoma"/>
        </w:rPr>
      </w:pPr>
    </w:p>
    <w:p w14:paraId="4B93B05E" w14:textId="366B3C17" w:rsidR="008D15F0" w:rsidRPr="00305AEB" w:rsidRDefault="008D15F0" w:rsidP="00186726">
      <w:pPr>
        <w:pStyle w:val="NUOVOSOTTOPARAGRAFO"/>
        <w:rPr>
          <w:rFonts w:cs="Tahoma"/>
        </w:rPr>
      </w:pPr>
      <w:bookmarkStart w:id="66" w:name="_Toc161933144"/>
      <w:r w:rsidRPr="00305AEB">
        <w:rPr>
          <w:rFonts w:cs="Tahoma"/>
        </w:rPr>
        <w:t>3.2.3 Immobile locato e lo Stato estero non prevede una tassazione</w:t>
      </w:r>
      <w:bookmarkEnd w:id="66"/>
    </w:p>
    <w:p w14:paraId="7BE1F21E" w14:textId="77777777" w:rsidR="008D15F0" w:rsidRPr="00305AEB" w:rsidRDefault="008D15F0" w:rsidP="00186726">
      <w:pPr>
        <w:tabs>
          <w:tab w:val="left" w:pos="7371"/>
          <w:tab w:val="right" w:pos="8080"/>
        </w:tabs>
        <w:rPr>
          <w:rFonts w:cs="Tahoma"/>
          <w:szCs w:val="20"/>
        </w:rPr>
      </w:pPr>
      <w:r w:rsidRPr="00305AEB">
        <w:rPr>
          <w:rFonts w:cs="Tahoma"/>
          <w:szCs w:val="20"/>
        </w:rPr>
        <w:t>In questo caso, la base imponibile del soggetto residente in Italia è pari all’ammontare dei canoni di locazione percepiti ridotti del 15% a titolo di deduzione forfettaria delle spese.</w:t>
      </w:r>
    </w:p>
    <w:p w14:paraId="58DD903C" w14:textId="0A40FA11" w:rsidR="007630E9" w:rsidRPr="00305AEB" w:rsidRDefault="007630E9" w:rsidP="00186726">
      <w:pPr>
        <w:rPr>
          <w:rFonts w:cs="Tahoma"/>
          <w:b/>
          <w:i/>
        </w:rPr>
      </w:pPr>
    </w:p>
    <w:p w14:paraId="29DE4D0F" w14:textId="0C8EAF08" w:rsidR="008D15F0" w:rsidRPr="00305AEB" w:rsidRDefault="008D15F0" w:rsidP="00186726">
      <w:pPr>
        <w:pStyle w:val="NUOVOSOTTOPARAGRAFO"/>
        <w:rPr>
          <w:rFonts w:cs="Tahoma"/>
        </w:rPr>
      </w:pPr>
      <w:bookmarkStart w:id="67" w:name="_Toc161933145"/>
      <w:r w:rsidRPr="00305AEB">
        <w:rPr>
          <w:rFonts w:cs="Tahoma"/>
        </w:rPr>
        <w:lastRenderedPageBreak/>
        <w:t>3.2.4 Immobile locato e lo Stato estero prevede una tassazione</w:t>
      </w:r>
      <w:bookmarkEnd w:id="67"/>
    </w:p>
    <w:p w14:paraId="503F149C" w14:textId="77777777" w:rsidR="008D15F0" w:rsidRPr="00305AEB" w:rsidRDefault="008D15F0" w:rsidP="00186726">
      <w:pPr>
        <w:tabs>
          <w:tab w:val="left" w:pos="7371"/>
          <w:tab w:val="right" w:pos="8080"/>
        </w:tabs>
        <w:rPr>
          <w:rFonts w:cs="Tahoma"/>
          <w:szCs w:val="20"/>
        </w:rPr>
      </w:pPr>
      <w:r w:rsidRPr="00305AEB">
        <w:rPr>
          <w:rFonts w:cs="Tahoma"/>
          <w:szCs w:val="20"/>
        </w:rPr>
        <w:t xml:space="preserve">In questo caso, la base imponibile del soggetto residente è quella determinata dallo Stato estero senza alcuna deduzione di spese. </w:t>
      </w:r>
    </w:p>
    <w:p w14:paraId="1F068E8C" w14:textId="77777777" w:rsidR="008D15F0" w:rsidRPr="00305AEB" w:rsidRDefault="008D15F0" w:rsidP="00186726">
      <w:pPr>
        <w:tabs>
          <w:tab w:val="left" w:pos="7371"/>
          <w:tab w:val="right" w:pos="8080"/>
        </w:tabs>
        <w:rPr>
          <w:rFonts w:cs="Tahoma"/>
          <w:szCs w:val="20"/>
        </w:rPr>
      </w:pPr>
      <w:r w:rsidRPr="00305AEB">
        <w:rPr>
          <w:rFonts w:cs="Tahoma"/>
          <w:szCs w:val="20"/>
        </w:rPr>
        <w:t>Quindi, nella dichiarazione italiana sarà necessario indicare l’ammontare dichiarato nello Stato ove è situato l’immobile e non la deduzione forfettaria del 15%.</w:t>
      </w:r>
    </w:p>
    <w:p w14:paraId="59975D96" w14:textId="77777777" w:rsidR="008D15F0" w:rsidRPr="00305AEB" w:rsidRDefault="008D15F0" w:rsidP="00186726">
      <w:pPr>
        <w:tabs>
          <w:tab w:val="left" w:pos="7371"/>
          <w:tab w:val="right" w:pos="8080"/>
        </w:tabs>
        <w:rPr>
          <w:rFonts w:cs="Tahoma"/>
          <w:szCs w:val="20"/>
        </w:rPr>
      </w:pPr>
      <w:r w:rsidRPr="00305AEB">
        <w:rPr>
          <w:rFonts w:cs="Tahoma"/>
          <w:szCs w:val="20"/>
        </w:rPr>
        <w:t>Si tenga presente che al contribuente spetta, inoltre, il credito per le imposte pagate all’estero, secondo il meccanismo dell’art. 165 del TUIR.</w:t>
      </w:r>
    </w:p>
    <w:p w14:paraId="1EEE1D55" w14:textId="77777777" w:rsidR="008D15F0" w:rsidRPr="00305AEB" w:rsidRDefault="008D15F0" w:rsidP="00186726">
      <w:pPr>
        <w:tabs>
          <w:tab w:val="left" w:pos="7371"/>
          <w:tab w:val="right" w:pos="8080"/>
        </w:tabs>
        <w:rPr>
          <w:rFonts w:cs="Tahoma"/>
          <w:szCs w:val="20"/>
        </w:rPr>
      </w:pPr>
      <w:r w:rsidRPr="00305AEB">
        <w:rPr>
          <w:rFonts w:cs="Tahoma"/>
          <w:szCs w:val="20"/>
        </w:rPr>
        <w:t xml:space="preserve">Facciamo un esempio: se si conseguono affitti nello Stato estero per 15.000 </w:t>
      </w:r>
      <w:proofErr w:type="gramStart"/>
      <w:r w:rsidRPr="00305AEB">
        <w:rPr>
          <w:rFonts w:cs="Tahoma"/>
          <w:szCs w:val="20"/>
        </w:rPr>
        <w:t>Euro</w:t>
      </w:r>
      <w:proofErr w:type="gramEnd"/>
      <w:r w:rsidRPr="00305AEB">
        <w:rPr>
          <w:rFonts w:cs="Tahoma"/>
          <w:szCs w:val="20"/>
        </w:rPr>
        <w:t xml:space="preserve"> e si sostengono spese deducibili dal reddito estero per 7.000 Euro, il reddito degli immobili da dichiarare in Italia sarà pari a 8.000 Euro.</w:t>
      </w:r>
    </w:p>
    <w:p w14:paraId="2FE8178D" w14:textId="77777777" w:rsidR="0069364A" w:rsidRPr="00305AEB" w:rsidRDefault="0069364A" w:rsidP="00186726">
      <w:pPr>
        <w:pStyle w:val="NUOVOSOTTOPARAGRAFO"/>
        <w:rPr>
          <w:rFonts w:eastAsiaTheme="minorEastAsia" w:cs="Tahoma"/>
          <w:sz w:val="32"/>
          <w:szCs w:val="32"/>
        </w:rPr>
      </w:pPr>
    </w:p>
    <w:p w14:paraId="75DC559C" w14:textId="77777777" w:rsidR="008D15F0" w:rsidRPr="00305AEB" w:rsidRDefault="008D15F0" w:rsidP="00186726">
      <w:pPr>
        <w:pStyle w:val="NUOVOSOTTOPARAGRAFO"/>
        <w:rPr>
          <w:rFonts w:cs="Tahoma"/>
        </w:rPr>
      </w:pPr>
      <w:bookmarkStart w:id="68" w:name="_Toc161933146"/>
      <w:r w:rsidRPr="00305AEB">
        <w:rPr>
          <w:rFonts w:cs="Tahoma"/>
        </w:rPr>
        <w:t>3.2.5 Disallineamento dei periodi d’imposta</w:t>
      </w:r>
      <w:bookmarkEnd w:id="68"/>
    </w:p>
    <w:p w14:paraId="20CD3643" w14:textId="77777777" w:rsidR="008D15F0" w:rsidRPr="00305AEB" w:rsidRDefault="008D15F0" w:rsidP="00186726">
      <w:pPr>
        <w:tabs>
          <w:tab w:val="left" w:pos="7371"/>
          <w:tab w:val="right" w:pos="8080"/>
        </w:tabs>
        <w:rPr>
          <w:rFonts w:cs="Tahoma"/>
          <w:szCs w:val="20"/>
        </w:rPr>
      </w:pPr>
      <w:r w:rsidRPr="00305AEB">
        <w:rPr>
          <w:rFonts w:cs="Tahoma"/>
          <w:szCs w:val="20"/>
        </w:rPr>
        <w:t>Ai sensi dell'art. 70, comma 2 del TUIR, nel caso di mancata coincidenza tra il periodo d'imposta estero e quello italiano, viene assunta la valutazione del reddito compiuta dallo Stato estero con riferimento al periodo d'imposta ivi vigente che scade nel corso di quello italiano.</w:t>
      </w:r>
    </w:p>
    <w:p w14:paraId="7BA77417" w14:textId="77777777" w:rsidR="0069364A" w:rsidRPr="00305AEB" w:rsidRDefault="0069364A" w:rsidP="00186726">
      <w:pPr>
        <w:pStyle w:val="NUOVOSOTTOPARAGRAFO"/>
        <w:rPr>
          <w:rFonts w:eastAsiaTheme="minorEastAsia" w:cs="Tahoma"/>
          <w:sz w:val="32"/>
          <w:szCs w:val="32"/>
        </w:rPr>
      </w:pPr>
    </w:p>
    <w:p w14:paraId="621D88B2" w14:textId="77777777" w:rsidR="008D15F0" w:rsidRPr="00305AEB" w:rsidRDefault="008D15F0" w:rsidP="00186726">
      <w:pPr>
        <w:pStyle w:val="NUOVOSOTTOPARAGRAFO"/>
        <w:rPr>
          <w:rFonts w:cs="Tahoma"/>
        </w:rPr>
      </w:pPr>
      <w:bookmarkStart w:id="69" w:name="_Toc161933147"/>
      <w:r w:rsidRPr="00305AEB">
        <w:rPr>
          <w:rFonts w:cs="Tahoma"/>
        </w:rPr>
        <w:t>3.2.6 Cedolare secca - esclusione</w:t>
      </w:r>
      <w:bookmarkEnd w:id="69"/>
    </w:p>
    <w:p w14:paraId="2211F5B3" w14:textId="77777777" w:rsidR="008D15F0" w:rsidRPr="00305AEB" w:rsidRDefault="008D15F0" w:rsidP="00186726">
      <w:pPr>
        <w:tabs>
          <w:tab w:val="left" w:pos="7371"/>
          <w:tab w:val="right" w:pos="8080"/>
        </w:tabs>
        <w:rPr>
          <w:rFonts w:cs="Tahoma"/>
          <w:szCs w:val="20"/>
        </w:rPr>
      </w:pPr>
      <w:r w:rsidRPr="00305AEB">
        <w:rPr>
          <w:rFonts w:cs="Tahoma"/>
          <w:szCs w:val="20"/>
        </w:rPr>
        <w:t xml:space="preserve">Le persone fisiche che non agiscono nell'esercizio di un'attività di impresa o di arti e professioni titolari del diritto di proprietà o di altro diritto reale di godimento di unità abitative locate e situate all'estero non possono in ogni caso fruire del regime facoltativo della c.d. "cedolare secca". </w:t>
      </w:r>
    </w:p>
    <w:p w14:paraId="260B901F" w14:textId="77777777" w:rsidR="008D15F0" w:rsidRPr="00305AEB" w:rsidRDefault="008D15F0" w:rsidP="00186726">
      <w:pPr>
        <w:tabs>
          <w:tab w:val="left" w:pos="7371"/>
          <w:tab w:val="right" w:pos="8080"/>
        </w:tabs>
        <w:rPr>
          <w:rFonts w:cs="Tahoma"/>
          <w:szCs w:val="20"/>
        </w:rPr>
      </w:pPr>
      <w:r w:rsidRPr="00305AEB">
        <w:rPr>
          <w:rFonts w:cs="Tahoma"/>
          <w:szCs w:val="20"/>
        </w:rPr>
        <w:t>Tale regime di tassazione, infatti, è stato espressamente escluso per contratti di locazione di immobili qualificati come redditi diversi di cui all'art. 67, comma 1 lett. f) del TUIR e non come redditi fondiari.</w:t>
      </w:r>
    </w:p>
    <w:p w14:paraId="24A4C2AA" w14:textId="77777777" w:rsidR="008D15F0" w:rsidRPr="00305AEB" w:rsidRDefault="008D15F0" w:rsidP="00186726">
      <w:pPr>
        <w:widowControl w:val="0"/>
        <w:tabs>
          <w:tab w:val="left" w:pos="220"/>
          <w:tab w:val="left" w:pos="720"/>
        </w:tabs>
        <w:autoSpaceDE w:val="0"/>
        <w:autoSpaceDN w:val="0"/>
        <w:adjustRightInd w:val="0"/>
        <w:rPr>
          <w:rFonts w:eastAsiaTheme="minorEastAsia" w:cs="Tahoma"/>
          <w:sz w:val="32"/>
          <w:szCs w:val="32"/>
        </w:rPr>
      </w:pPr>
    </w:p>
    <w:p w14:paraId="5FCCBF95" w14:textId="77777777" w:rsidR="008D15F0" w:rsidRPr="00305AEB" w:rsidRDefault="008D15F0" w:rsidP="00186726">
      <w:pPr>
        <w:pStyle w:val="Sottotitolo"/>
        <w:numPr>
          <w:ilvl w:val="0"/>
          <w:numId w:val="0"/>
        </w:numPr>
        <w:rPr>
          <w:rFonts w:cs="Tahoma"/>
          <w:spacing w:val="0"/>
        </w:rPr>
      </w:pPr>
      <w:bookmarkStart w:id="70" w:name="_Toc161933148"/>
      <w:r w:rsidRPr="00305AEB">
        <w:rPr>
          <w:rFonts w:cs="Tahoma"/>
          <w:spacing w:val="0"/>
        </w:rPr>
        <w:t>3.3 Convenzioni internazionali contro le doppie imposizioni</w:t>
      </w:r>
      <w:bookmarkEnd w:id="70"/>
    </w:p>
    <w:p w14:paraId="4CDEB070" w14:textId="77777777" w:rsidR="008D15F0" w:rsidRPr="00305AEB" w:rsidRDefault="008D15F0" w:rsidP="00186726">
      <w:pPr>
        <w:tabs>
          <w:tab w:val="left" w:pos="7371"/>
          <w:tab w:val="right" w:pos="8080"/>
        </w:tabs>
        <w:rPr>
          <w:rFonts w:cs="Tahoma"/>
          <w:szCs w:val="20"/>
        </w:rPr>
      </w:pPr>
      <w:r w:rsidRPr="00305AEB">
        <w:rPr>
          <w:rFonts w:cs="Tahoma"/>
          <w:szCs w:val="20"/>
        </w:rPr>
        <w:t>Secondo l'art. 6 del modello OCSE, la circostanza che gli immobili siano tassati nello Stato in cui sono situati non esclude che il loro reddito concorra comunque a formare il reddito complessivo imponibile in Italia.</w:t>
      </w:r>
    </w:p>
    <w:p w14:paraId="16239574" w14:textId="1678D9DA" w:rsidR="008D15F0" w:rsidRPr="00305AEB" w:rsidRDefault="008D15F0" w:rsidP="00186726">
      <w:pPr>
        <w:tabs>
          <w:tab w:val="left" w:pos="7371"/>
          <w:tab w:val="right" w:pos="8080"/>
        </w:tabs>
        <w:rPr>
          <w:rFonts w:cs="Tahoma"/>
          <w:szCs w:val="20"/>
        </w:rPr>
      </w:pPr>
      <w:r w:rsidRPr="00305AEB">
        <w:rPr>
          <w:rFonts w:cs="Tahoma"/>
          <w:szCs w:val="20"/>
        </w:rPr>
        <w:lastRenderedPageBreak/>
        <w:t>In altri termini, ove la Convenzione contro le doppie imposizioni stipulata tra lo Stato estero e l'Italia preveda che "i redditi che un residente di uno Stato contraente ritrae da beni immobili situati nell'altro Stato contraente sono imponibili in detto altro Stato", non si esclude la potestà impositiva (concorrente) dello Stato di residenza del percettore degli stessi (R.M. n. 412/E del 2008)</w:t>
      </w:r>
    </w:p>
    <w:p w14:paraId="7DCA79C1" w14:textId="77777777" w:rsidR="007630E9" w:rsidRPr="00305AEB" w:rsidRDefault="007630E9" w:rsidP="00186726">
      <w:pPr>
        <w:pStyle w:val="Sottotitolo"/>
        <w:numPr>
          <w:ilvl w:val="0"/>
          <w:numId w:val="0"/>
        </w:numPr>
        <w:rPr>
          <w:rFonts w:cs="Tahoma"/>
          <w:spacing w:val="0"/>
        </w:rPr>
      </w:pPr>
    </w:p>
    <w:p w14:paraId="6E2931AB" w14:textId="46F345D3" w:rsidR="008D15F0" w:rsidRPr="00305AEB" w:rsidRDefault="008D15F0" w:rsidP="00186726">
      <w:pPr>
        <w:pStyle w:val="Sottotitolo"/>
        <w:numPr>
          <w:ilvl w:val="0"/>
          <w:numId w:val="0"/>
        </w:numPr>
        <w:rPr>
          <w:rFonts w:cs="Tahoma"/>
          <w:spacing w:val="0"/>
        </w:rPr>
      </w:pPr>
      <w:bookmarkStart w:id="71" w:name="_Toc161933149"/>
      <w:r w:rsidRPr="00305AEB">
        <w:rPr>
          <w:rFonts w:cs="Tahoma"/>
          <w:spacing w:val="0"/>
        </w:rPr>
        <w:t>3.4 La cessione degli immobili esteri per i soggetti non imprenditori</w:t>
      </w:r>
      <w:bookmarkEnd w:id="71"/>
    </w:p>
    <w:p w14:paraId="3D63659B" w14:textId="77777777" w:rsidR="008D15F0" w:rsidRPr="00305AEB" w:rsidRDefault="008D15F0" w:rsidP="00186726">
      <w:pPr>
        <w:tabs>
          <w:tab w:val="left" w:pos="7371"/>
          <w:tab w:val="right" w:pos="8080"/>
        </w:tabs>
        <w:rPr>
          <w:rFonts w:cs="Tahoma"/>
          <w:szCs w:val="20"/>
        </w:rPr>
      </w:pPr>
      <w:r w:rsidRPr="00305AEB">
        <w:rPr>
          <w:rFonts w:cs="Tahoma"/>
          <w:szCs w:val="20"/>
        </w:rPr>
        <w:t>Rientrano tra i redditi diversi - se gli immobili sono posseduti al di fuori dell'ambito dell'attività imprenditoriale eventualmente esercitata - le plusvalenze derivanti dalla cessione a titolo oneroso (art. 67, comma 1, lett. a) e b) del TUIR) dei seguenti immobili:</w:t>
      </w:r>
    </w:p>
    <w:p w14:paraId="293DC825" w14:textId="77777777" w:rsidR="008D15F0" w:rsidRPr="00305AEB" w:rsidRDefault="008D15F0" w:rsidP="00186726">
      <w:pPr>
        <w:pStyle w:val="Paragrafoelenco"/>
        <w:numPr>
          <w:ilvl w:val="0"/>
          <w:numId w:val="24"/>
        </w:numPr>
        <w:tabs>
          <w:tab w:val="left" w:pos="7371"/>
          <w:tab w:val="right" w:pos="8080"/>
        </w:tabs>
        <w:rPr>
          <w:rFonts w:cs="Tahoma"/>
          <w:szCs w:val="20"/>
        </w:rPr>
      </w:pPr>
      <w:r w:rsidRPr="00305AEB">
        <w:rPr>
          <w:rFonts w:cs="Tahoma"/>
          <w:szCs w:val="20"/>
        </w:rPr>
        <w:t>terreni lottizzati o fatti oggetto di opere intese a renderli edificabili, ovvero edifici costruiti su tali terreni;</w:t>
      </w:r>
    </w:p>
    <w:p w14:paraId="42340F4E" w14:textId="77777777" w:rsidR="008D15F0" w:rsidRPr="00305AEB" w:rsidRDefault="008D15F0" w:rsidP="00186726">
      <w:pPr>
        <w:pStyle w:val="Paragrafoelenco"/>
        <w:numPr>
          <w:ilvl w:val="0"/>
          <w:numId w:val="24"/>
        </w:numPr>
        <w:tabs>
          <w:tab w:val="left" w:pos="7371"/>
          <w:tab w:val="right" w:pos="8080"/>
        </w:tabs>
        <w:rPr>
          <w:rFonts w:cs="Tahoma"/>
          <w:szCs w:val="20"/>
        </w:rPr>
      </w:pPr>
      <w:r w:rsidRPr="00305AEB">
        <w:rPr>
          <w:rFonts w:cs="Tahoma"/>
          <w:szCs w:val="20"/>
        </w:rPr>
        <w:t>terreni agricoli acquistati da non più di cinque anni;</w:t>
      </w:r>
    </w:p>
    <w:p w14:paraId="623BF156" w14:textId="77777777" w:rsidR="008D15F0" w:rsidRPr="00305AEB" w:rsidRDefault="008D15F0" w:rsidP="00186726">
      <w:pPr>
        <w:pStyle w:val="Paragrafoelenco"/>
        <w:numPr>
          <w:ilvl w:val="0"/>
          <w:numId w:val="24"/>
        </w:numPr>
        <w:tabs>
          <w:tab w:val="left" w:pos="7371"/>
          <w:tab w:val="right" w:pos="8080"/>
        </w:tabs>
        <w:rPr>
          <w:rFonts w:cs="Tahoma"/>
          <w:szCs w:val="20"/>
        </w:rPr>
      </w:pPr>
      <w:r w:rsidRPr="00305AEB">
        <w:rPr>
          <w:rFonts w:cs="Tahoma"/>
          <w:szCs w:val="20"/>
        </w:rPr>
        <w:t>terreni suscettibili di utilizzazione edificatoria secondo gli strumenti urbanistici vigenti al momento della cessione;</w:t>
      </w:r>
    </w:p>
    <w:p w14:paraId="30A64D74" w14:textId="77777777" w:rsidR="008D15F0" w:rsidRPr="00305AEB" w:rsidRDefault="008D15F0" w:rsidP="00186726">
      <w:pPr>
        <w:pStyle w:val="Paragrafoelenco"/>
        <w:numPr>
          <w:ilvl w:val="0"/>
          <w:numId w:val="24"/>
        </w:numPr>
        <w:tabs>
          <w:tab w:val="left" w:pos="7371"/>
          <w:tab w:val="right" w:pos="8080"/>
        </w:tabs>
        <w:rPr>
          <w:rFonts w:cs="Tahoma"/>
          <w:szCs w:val="20"/>
        </w:rPr>
      </w:pPr>
      <w:r w:rsidRPr="00305AEB">
        <w:rPr>
          <w:rFonts w:cs="Tahoma"/>
          <w:szCs w:val="20"/>
        </w:rPr>
        <w:t>fabbricati o porzioni di fabbricato che non derivano da lottizzazioni di terreni, acquistati o costruiti da non più di cinque anni.</w:t>
      </w:r>
    </w:p>
    <w:p w14:paraId="76F6337A" w14:textId="77777777" w:rsidR="008D15F0" w:rsidRPr="00305AEB" w:rsidRDefault="008D15F0" w:rsidP="00186726">
      <w:pPr>
        <w:tabs>
          <w:tab w:val="left" w:pos="7371"/>
          <w:tab w:val="right" w:pos="8080"/>
        </w:tabs>
        <w:rPr>
          <w:rFonts w:cs="Tahoma"/>
          <w:szCs w:val="20"/>
        </w:rPr>
      </w:pPr>
      <w:r w:rsidRPr="00305AEB">
        <w:rPr>
          <w:rFonts w:cs="Tahoma"/>
          <w:szCs w:val="20"/>
        </w:rPr>
        <w:t>Anche per gli immobili situati all'estero, le plusvalenze immobiliari sono imponibili secondo il criterio di cassa.</w:t>
      </w:r>
    </w:p>
    <w:p w14:paraId="5E21D571" w14:textId="77777777" w:rsidR="0069364A" w:rsidRPr="00305AEB" w:rsidRDefault="0069364A" w:rsidP="00186726">
      <w:pPr>
        <w:pStyle w:val="Sottotitolo"/>
        <w:numPr>
          <w:ilvl w:val="0"/>
          <w:numId w:val="0"/>
        </w:numPr>
        <w:rPr>
          <w:rFonts w:cs="Tahoma"/>
          <w:spacing w:val="0"/>
        </w:rPr>
      </w:pPr>
    </w:p>
    <w:p w14:paraId="53062F49" w14:textId="77777777" w:rsidR="008D15F0" w:rsidRPr="00305AEB" w:rsidRDefault="008D15F0" w:rsidP="00186726">
      <w:pPr>
        <w:pStyle w:val="Sottotitolo"/>
        <w:numPr>
          <w:ilvl w:val="0"/>
          <w:numId w:val="0"/>
        </w:numPr>
        <w:rPr>
          <w:rFonts w:cs="Tahoma"/>
          <w:spacing w:val="0"/>
        </w:rPr>
      </w:pPr>
      <w:bookmarkStart w:id="72" w:name="_Toc161933150"/>
      <w:r w:rsidRPr="00305AEB">
        <w:rPr>
          <w:rFonts w:cs="Tahoma"/>
          <w:spacing w:val="0"/>
        </w:rPr>
        <w:t>3.5 Convenzioni internazionali contro le doppie imposizioni</w:t>
      </w:r>
      <w:bookmarkEnd w:id="72"/>
    </w:p>
    <w:p w14:paraId="2F50D831" w14:textId="77777777" w:rsidR="008D15F0" w:rsidRPr="00305AEB" w:rsidRDefault="008D15F0" w:rsidP="00186726">
      <w:pPr>
        <w:tabs>
          <w:tab w:val="left" w:pos="7371"/>
          <w:tab w:val="right" w:pos="8080"/>
        </w:tabs>
        <w:rPr>
          <w:rFonts w:cs="Tahoma"/>
          <w:szCs w:val="20"/>
        </w:rPr>
      </w:pPr>
      <w:r w:rsidRPr="00305AEB">
        <w:rPr>
          <w:rFonts w:cs="Tahoma"/>
          <w:szCs w:val="20"/>
        </w:rPr>
        <w:t>Secondo l'art. 13 del modello OCSE per evitare le doppie imposizioni internazionali, le plusvalenze derivanti dall'alienazione di beni immobili sono tassate anche nello Stato in cui tali beni si trovano. </w:t>
      </w:r>
    </w:p>
    <w:p w14:paraId="4B828D04" w14:textId="74F094A7" w:rsidR="008D15F0" w:rsidRPr="00305AEB" w:rsidRDefault="008D15F0" w:rsidP="00186726">
      <w:pPr>
        <w:tabs>
          <w:tab w:val="left" w:pos="7371"/>
          <w:tab w:val="right" w:pos="8080"/>
        </w:tabs>
        <w:rPr>
          <w:rFonts w:cs="Tahoma"/>
          <w:szCs w:val="20"/>
        </w:rPr>
      </w:pPr>
      <w:r w:rsidRPr="00305AEB">
        <w:rPr>
          <w:rFonts w:cs="Tahoma"/>
          <w:szCs w:val="20"/>
        </w:rPr>
        <w:t>Si verificano, quindi, casi di doppia imposizione internazionale che, generalmente, vengono risolti con il meccanismo del credito per le imposte estere previsto dall’art. 165 del TUIR.</w:t>
      </w:r>
    </w:p>
    <w:p w14:paraId="6A68BBA6" w14:textId="4C83BC69" w:rsidR="008D15F0" w:rsidRPr="00305AEB" w:rsidRDefault="008D15F0" w:rsidP="00186726">
      <w:pPr>
        <w:tabs>
          <w:tab w:val="left" w:pos="7371"/>
          <w:tab w:val="right" w:pos="8080"/>
        </w:tabs>
        <w:rPr>
          <w:rFonts w:cs="Tahoma"/>
          <w:szCs w:val="20"/>
        </w:rPr>
      </w:pPr>
      <w:r w:rsidRPr="00305AEB">
        <w:rPr>
          <w:rFonts w:cs="Tahoma"/>
          <w:szCs w:val="20"/>
        </w:rPr>
        <w:t>Per le partecipazioni in società immobiliari, l'art. 13, paragrafo 4, del modello OCSE stabilisce che le plusvalenze conseguite da un residente di uno Stato contraente a seguito dell'alienazione di azioni derivanti per oltre il 50%, direttamente o indirettamente, da beni immobili situati nell'altro Stato contraente possono essere tassate in detto altro Stato.</w:t>
      </w:r>
    </w:p>
    <w:p w14:paraId="4EF3D068" w14:textId="77777777" w:rsidR="008D15F0" w:rsidRPr="00305AEB" w:rsidRDefault="008D15F0" w:rsidP="00186726">
      <w:pPr>
        <w:tabs>
          <w:tab w:val="left" w:pos="7371"/>
          <w:tab w:val="right" w:pos="8080"/>
        </w:tabs>
        <w:rPr>
          <w:rFonts w:cs="Tahoma"/>
          <w:szCs w:val="20"/>
        </w:rPr>
      </w:pPr>
      <w:r w:rsidRPr="00305AEB">
        <w:rPr>
          <w:rFonts w:cs="Tahoma"/>
          <w:szCs w:val="20"/>
        </w:rPr>
        <w:lastRenderedPageBreak/>
        <w:t>Questa clausola è contenuta in poche Convenzioni stipulate dall'Italia, anche se è realistico ritenere che questo principio si estenda, a seguito dell'adesione italiana alla Convenzione Multilaterale OCSE del 7.6.2017.</w:t>
      </w:r>
    </w:p>
    <w:p w14:paraId="3D32F5C4" w14:textId="77777777" w:rsidR="000A48B9" w:rsidRDefault="000A48B9" w:rsidP="00186726">
      <w:pPr>
        <w:pStyle w:val="Sottotitolo"/>
        <w:rPr>
          <w:rFonts w:cs="Tahoma"/>
          <w:spacing w:val="0"/>
        </w:rPr>
      </w:pPr>
    </w:p>
    <w:p w14:paraId="5AC06AA1" w14:textId="79C60822" w:rsidR="008D15F0" w:rsidRPr="00305AEB" w:rsidRDefault="008D15F0" w:rsidP="00186726">
      <w:pPr>
        <w:pStyle w:val="Sottotitolo"/>
        <w:rPr>
          <w:rFonts w:cs="Tahoma"/>
          <w:spacing w:val="0"/>
        </w:rPr>
      </w:pPr>
      <w:bookmarkStart w:id="73" w:name="_Toc161933151"/>
      <w:r w:rsidRPr="00305AEB">
        <w:rPr>
          <w:rFonts w:cs="Tahoma"/>
          <w:spacing w:val="0"/>
        </w:rPr>
        <w:t>3.6 Credito per le imposte pagate all’estero</w:t>
      </w:r>
      <w:bookmarkEnd w:id="73"/>
      <w:r w:rsidRPr="00305AEB">
        <w:rPr>
          <w:rFonts w:cs="Tahoma"/>
          <w:spacing w:val="0"/>
        </w:rPr>
        <w:t xml:space="preserve"> </w:t>
      </w:r>
    </w:p>
    <w:p w14:paraId="22C79BA6" w14:textId="77777777" w:rsidR="008D15F0" w:rsidRPr="00305AEB" w:rsidRDefault="008D15F0" w:rsidP="00186726">
      <w:pPr>
        <w:tabs>
          <w:tab w:val="left" w:pos="7371"/>
          <w:tab w:val="right" w:pos="8080"/>
        </w:tabs>
        <w:rPr>
          <w:rFonts w:cs="Tahoma"/>
          <w:szCs w:val="20"/>
        </w:rPr>
      </w:pPr>
      <w:r w:rsidRPr="00305AEB">
        <w:rPr>
          <w:rFonts w:cs="Tahoma"/>
          <w:szCs w:val="20"/>
        </w:rPr>
        <w:t>Sui redditi immobiliari percepiti all’estero da residenti italiani spetta il credito per le imposte estere previsto dall’art. 165 del TUIR, che consente di alleviare il peso della doppia imposizione internazionale.</w:t>
      </w:r>
    </w:p>
    <w:p w14:paraId="369BA9C4" w14:textId="77777777" w:rsidR="007630E9" w:rsidRPr="00305AEB" w:rsidRDefault="007630E9" w:rsidP="00186726">
      <w:pPr>
        <w:pStyle w:val="Sottotitolo"/>
        <w:rPr>
          <w:rFonts w:cs="Tahoma"/>
          <w:spacing w:val="0"/>
        </w:rPr>
      </w:pPr>
    </w:p>
    <w:p w14:paraId="5EAAFE21" w14:textId="5BADD39A" w:rsidR="008D15F0" w:rsidRPr="00305AEB" w:rsidRDefault="008D15F0" w:rsidP="00186726">
      <w:pPr>
        <w:pStyle w:val="Sottotitolo"/>
        <w:rPr>
          <w:rFonts w:cs="Tahoma"/>
          <w:spacing w:val="0"/>
        </w:rPr>
      </w:pPr>
      <w:bookmarkStart w:id="74" w:name="_Toc161933152"/>
      <w:r w:rsidRPr="00305AEB">
        <w:rPr>
          <w:rFonts w:cs="Tahoma"/>
          <w:spacing w:val="0"/>
        </w:rPr>
        <w:t>3.7 Indicazione nel modello REDDITI</w:t>
      </w:r>
      <w:bookmarkEnd w:id="74"/>
    </w:p>
    <w:p w14:paraId="60E4151F" w14:textId="77777777" w:rsidR="008D15F0" w:rsidRPr="00305AEB" w:rsidRDefault="008D15F0" w:rsidP="00186726">
      <w:pPr>
        <w:pStyle w:val="NUOVOSOTTOPARAGRAFO"/>
        <w:rPr>
          <w:rFonts w:cs="Tahoma"/>
        </w:rPr>
      </w:pPr>
      <w:bookmarkStart w:id="75" w:name="_Toc161933153"/>
      <w:r w:rsidRPr="00305AEB">
        <w:rPr>
          <w:rFonts w:cs="Tahoma"/>
        </w:rPr>
        <w:t>3.7.1 Immobile concesso in locazione in Spagna</w:t>
      </w:r>
      <w:bookmarkEnd w:id="75"/>
    </w:p>
    <w:p w14:paraId="290B3E00" w14:textId="77777777" w:rsidR="008D15F0" w:rsidRPr="00305AEB" w:rsidRDefault="008D15F0" w:rsidP="00186726">
      <w:pPr>
        <w:tabs>
          <w:tab w:val="left" w:pos="7371"/>
          <w:tab w:val="right" w:pos="8080"/>
        </w:tabs>
        <w:rPr>
          <w:rFonts w:cs="Tahoma"/>
          <w:szCs w:val="20"/>
        </w:rPr>
      </w:pPr>
      <w:r w:rsidRPr="00305AEB">
        <w:rPr>
          <w:rFonts w:cs="Tahoma"/>
          <w:szCs w:val="20"/>
        </w:rPr>
        <w:t xml:space="preserve">Si ipotizzi un immobile posseduto in Spagna e concesso in locazione per un canone annuo di 10.000,00 </w:t>
      </w:r>
      <w:proofErr w:type="gramStart"/>
      <w:r w:rsidRPr="00305AEB">
        <w:rPr>
          <w:rFonts w:cs="Tahoma"/>
          <w:szCs w:val="20"/>
        </w:rPr>
        <w:t>Euro</w:t>
      </w:r>
      <w:proofErr w:type="gramEnd"/>
      <w:r w:rsidRPr="00305AEB">
        <w:rPr>
          <w:rFonts w:cs="Tahoma"/>
          <w:szCs w:val="20"/>
        </w:rPr>
        <w:t xml:space="preserve">. </w:t>
      </w:r>
    </w:p>
    <w:p w14:paraId="2F564384" w14:textId="77777777" w:rsidR="008D15F0" w:rsidRPr="00305AEB" w:rsidRDefault="008D15F0" w:rsidP="00186726">
      <w:pPr>
        <w:tabs>
          <w:tab w:val="left" w:pos="7371"/>
          <w:tab w:val="right" w:pos="8080"/>
        </w:tabs>
        <w:rPr>
          <w:rFonts w:cs="Tahoma"/>
          <w:szCs w:val="20"/>
        </w:rPr>
      </w:pPr>
      <w:r w:rsidRPr="00305AEB">
        <w:rPr>
          <w:rFonts w:cs="Tahoma"/>
          <w:szCs w:val="20"/>
        </w:rPr>
        <w:t>Supponendo poi che lo stesso ammontare sia soggetto ad imposte in Spagna, nel modello REDDITI PF deve essere riportato l'intero importo del canone di locazione dichiarato nello stato estero, senza operare alcuna deduzione forfettaria a titolo di spese.</w:t>
      </w:r>
    </w:p>
    <w:p w14:paraId="1B68FDAA" w14:textId="77777777" w:rsidR="008D15F0" w:rsidRDefault="008D15F0" w:rsidP="00186726">
      <w:pPr>
        <w:tabs>
          <w:tab w:val="left" w:pos="7371"/>
          <w:tab w:val="right" w:pos="8080"/>
        </w:tabs>
        <w:rPr>
          <w:rFonts w:cs="Tahoma"/>
          <w:szCs w:val="20"/>
        </w:rPr>
      </w:pPr>
      <w:r w:rsidRPr="00305AEB">
        <w:rPr>
          <w:rFonts w:cs="Tahoma"/>
          <w:szCs w:val="20"/>
        </w:rPr>
        <w:t>Il modello REDDITI dovrebbe essere compilato nel seguente modo:</w:t>
      </w:r>
    </w:p>
    <w:p w14:paraId="72D99213" w14:textId="72DDF155" w:rsidR="005E522B" w:rsidRDefault="005E522B" w:rsidP="005E522B">
      <w:r>
        <w:rPr>
          <w:noProof/>
        </w:rPr>
        <w:drawing>
          <wp:inline distT="0" distB="0" distL="0" distR="0" wp14:anchorId="3D1B7287" wp14:editId="6B212D91">
            <wp:extent cx="5844540" cy="351790"/>
            <wp:effectExtent l="0" t="0" r="3810" b="0"/>
            <wp:docPr id="1156819771"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44540" cy="351790"/>
                    </a:xfrm>
                    <a:prstGeom prst="rect">
                      <a:avLst/>
                    </a:prstGeom>
                    <a:noFill/>
                    <a:ln>
                      <a:noFill/>
                    </a:ln>
                  </pic:spPr>
                </pic:pic>
              </a:graphicData>
            </a:graphic>
          </wp:inline>
        </w:drawing>
      </w:r>
    </w:p>
    <w:p w14:paraId="04CBDE63" w14:textId="77777777" w:rsidR="005E522B" w:rsidRPr="005E522B" w:rsidRDefault="005E522B" w:rsidP="005E522B"/>
    <w:p w14:paraId="72D7C87C" w14:textId="77777777" w:rsidR="008D15F0" w:rsidRPr="00305AEB" w:rsidRDefault="008D15F0" w:rsidP="00186726">
      <w:pPr>
        <w:pStyle w:val="NUOVOSOTTOPARAGRAFO"/>
        <w:rPr>
          <w:rFonts w:cs="Tahoma"/>
        </w:rPr>
      </w:pPr>
      <w:bookmarkStart w:id="76" w:name="_Toc161933154"/>
      <w:r w:rsidRPr="00305AEB">
        <w:rPr>
          <w:rFonts w:cs="Tahoma"/>
        </w:rPr>
        <w:t>3.7.2 Immobile in Svizzera adibito ad abitazione principale non di lusso</w:t>
      </w:r>
      <w:bookmarkEnd w:id="76"/>
    </w:p>
    <w:p w14:paraId="5B3339BA" w14:textId="77777777" w:rsidR="008D15F0" w:rsidRPr="00305AEB" w:rsidRDefault="008D15F0" w:rsidP="00186726">
      <w:pPr>
        <w:tabs>
          <w:tab w:val="left" w:pos="7371"/>
          <w:tab w:val="right" w:pos="8080"/>
        </w:tabs>
        <w:rPr>
          <w:rFonts w:cs="Tahoma"/>
          <w:szCs w:val="20"/>
        </w:rPr>
      </w:pPr>
      <w:r w:rsidRPr="00305AEB">
        <w:rPr>
          <w:rFonts w:cs="Tahoma"/>
          <w:szCs w:val="20"/>
        </w:rPr>
        <w:t>Si ipotizzi il caso di un immobile situato in Svizzera, adibito ad abitazione principale da Tizio che ha trasferito la residenza in tale Stato per esercitare la propria attività.</w:t>
      </w:r>
    </w:p>
    <w:p w14:paraId="573A7800" w14:textId="77777777" w:rsidR="008D15F0" w:rsidRPr="00305AEB" w:rsidRDefault="008D15F0" w:rsidP="00186726">
      <w:pPr>
        <w:tabs>
          <w:tab w:val="left" w:pos="7371"/>
          <w:tab w:val="right" w:pos="8080"/>
        </w:tabs>
        <w:rPr>
          <w:rFonts w:cs="Tahoma"/>
          <w:szCs w:val="20"/>
        </w:rPr>
      </w:pPr>
      <w:r w:rsidRPr="00305AEB">
        <w:rPr>
          <w:rFonts w:cs="Tahoma"/>
          <w:szCs w:val="20"/>
        </w:rPr>
        <w:t>Si suppone che tale immobile sia considerato "di lusso" (ossia, equiparabile ad una categoria catastale equivalente a quelle italiane A/1, A/8 e A/9) ed è tassato in base ad una valutazione catastale pari a 10.000,00 euro.</w:t>
      </w:r>
    </w:p>
    <w:p w14:paraId="06C4B453" w14:textId="77777777" w:rsidR="008D15F0" w:rsidRPr="00305AEB" w:rsidRDefault="008D15F0" w:rsidP="00186726">
      <w:pPr>
        <w:tabs>
          <w:tab w:val="left" w:pos="7371"/>
          <w:tab w:val="right" w:pos="8080"/>
        </w:tabs>
        <w:rPr>
          <w:rFonts w:cs="Tahoma"/>
          <w:szCs w:val="20"/>
        </w:rPr>
      </w:pPr>
      <w:r w:rsidRPr="00305AEB">
        <w:rPr>
          <w:rFonts w:cs="Tahoma"/>
          <w:szCs w:val="20"/>
        </w:rPr>
        <w:t xml:space="preserve">Ai fini fiscali, Tizio risulta, tuttavia, residente in Italia, in quanto sede principale dei suoi interessi familiari e sociali. </w:t>
      </w:r>
    </w:p>
    <w:p w14:paraId="434685AE" w14:textId="77777777" w:rsidR="008D15F0" w:rsidRPr="00305AEB" w:rsidRDefault="008D15F0" w:rsidP="00186726">
      <w:pPr>
        <w:tabs>
          <w:tab w:val="left" w:pos="7371"/>
          <w:tab w:val="right" w:pos="8080"/>
        </w:tabs>
        <w:rPr>
          <w:rFonts w:cs="Tahoma"/>
          <w:szCs w:val="20"/>
        </w:rPr>
      </w:pPr>
      <w:r w:rsidRPr="00305AEB">
        <w:rPr>
          <w:rFonts w:cs="Tahoma"/>
          <w:szCs w:val="20"/>
        </w:rPr>
        <w:lastRenderedPageBreak/>
        <w:t xml:space="preserve">Ne discende che Tizio deve assolvere l'IVIE, con l'aliquota ridotta dello 0,4% prevista per gli immobili adibiti ad abitazione principale all'estero. </w:t>
      </w:r>
    </w:p>
    <w:p w14:paraId="03834087" w14:textId="77777777" w:rsidR="008D15F0" w:rsidRDefault="008D15F0" w:rsidP="00186726">
      <w:pPr>
        <w:tabs>
          <w:tab w:val="left" w:pos="7371"/>
          <w:tab w:val="right" w:pos="8080"/>
        </w:tabs>
        <w:rPr>
          <w:rFonts w:cs="Tahoma"/>
          <w:szCs w:val="20"/>
        </w:rPr>
      </w:pPr>
      <w:r w:rsidRPr="00305AEB">
        <w:rPr>
          <w:rFonts w:cs="Tahoma"/>
          <w:szCs w:val="20"/>
        </w:rPr>
        <w:t>In Italia, il reddito derivante dall'immobile in Svizzera, pur non essendo assoggettato ad imposizione in virtù dell'effetto sostitutivo IVIE-IRPEF, deve essere, comunque, riportato nel quadro RL del modello REDDITI.</w:t>
      </w:r>
    </w:p>
    <w:p w14:paraId="5D4F2620" w14:textId="77315C16" w:rsidR="008D15F0" w:rsidRPr="00305AEB" w:rsidRDefault="005E522B" w:rsidP="00186726">
      <w:pPr>
        <w:tabs>
          <w:tab w:val="left" w:pos="7371"/>
          <w:tab w:val="right" w:pos="8080"/>
        </w:tabs>
        <w:rPr>
          <w:rFonts w:cs="Tahoma"/>
          <w:szCs w:val="20"/>
        </w:rPr>
      </w:pPr>
      <w:r>
        <w:rPr>
          <w:rFonts w:cs="Tahoma"/>
          <w:noProof/>
          <w:szCs w:val="20"/>
        </w:rPr>
        <w:drawing>
          <wp:inline distT="0" distB="0" distL="0" distR="0" wp14:anchorId="69EAB655" wp14:editId="5D6D2450">
            <wp:extent cx="5844540" cy="396240"/>
            <wp:effectExtent l="0" t="0" r="3810" b="3810"/>
            <wp:docPr id="84577687"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44540" cy="396240"/>
                    </a:xfrm>
                    <a:prstGeom prst="rect">
                      <a:avLst/>
                    </a:prstGeom>
                    <a:noFill/>
                    <a:ln>
                      <a:noFill/>
                    </a:ln>
                  </pic:spPr>
                </pic:pic>
              </a:graphicData>
            </a:graphic>
          </wp:inline>
        </w:drawing>
      </w:r>
    </w:p>
    <w:p w14:paraId="1C96E44E" w14:textId="77777777" w:rsidR="007630E9" w:rsidRPr="00305AEB" w:rsidRDefault="007630E9" w:rsidP="00186726">
      <w:pPr>
        <w:pStyle w:val="NUOVOSOTTOPARAGRAFO"/>
        <w:rPr>
          <w:rFonts w:cs="Tahoma"/>
        </w:rPr>
      </w:pPr>
    </w:p>
    <w:p w14:paraId="1DC4F08C" w14:textId="1ECF9514" w:rsidR="008D15F0" w:rsidRPr="00305AEB" w:rsidRDefault="008D15F0" w:rsidP="00186726">
      <w:pPr>
        <w:pStyle w:val="NUOVOSOTTOPARAGRAFO"/>
        <w:rPr>
          <w:rFonts w:cs="Tahoma"/>
        </w:rPr>
      </w:pPr>
      <w:bookmarkStart w:id="77" w:name="_Toc161933155"/>
      <w:r w:rsidRPr="00305AEB">
        <w:rPr>
          <w:rFonts w:cs="Tahoma"/>
        </w:rPr>
        <w:t>3.7.</w:t>
      </w:r>
      <w:r w:rsidR="000D3611" w:rsidRPr="00305AEB">
        <w:rPr>
          <w:rFonts w:cs="Tahoma"/>
        </w:rPr>
        <w:t>3</w:t>
      </w:r>
      <w:r w:rsidRPr="00305AEB">
        <w:rPr>
          <w:rFonts w:cs="Tahoma"/>
        </w:rPr>
        <w:t xml:space="preserve"> Immobile concesso in locazione in Germania</w:t>
      </w:r>
      <w:bookmarkEnd w:id="77"/>
    </w:p>
    <w:p w14:paraId="274CF57D" w14:textId="77777777" w:rsidR="008D15F0" w:rsidRPr="00305AEB" w:rsidRDefault="008D15F0" w:rsidP="00186726">
      <w:pPr>
        <w:tabs>
          <w:tab w:val="left" w:pos="7371"/>
          <w:tab w:val="right" w:pos="8080"/>
        </w:tabs>
        <w:rPr>
          <w:rFonts w:cs="Tahoma"/>
          <w:szCs w:val="20"/>
        </w:rPr>
      </w:pPr>
      <w:r w:rsidRPr="00305AEB">
        <w:rPr>
          <w:rFonts w:cs="Tahoma"/>
          <w:szCs w:val="20"/>
        </w:rPr>
        <w:t xml:space="preserve">Si ipotizza una persona fisica residente in Italia che consegue affitti in Germania per 25.000,00 </w:t>
      </w:r>
      <w:proofErr w:type="gramStart"/>
      <w:r w:rsidRPr="00305AEB">
        <w:rPr>
          <w:rFonts w:cs="Tahoma"/>
          <w:szCs w:val="20"/>
        </w:rPr>
        <w:t>Euro</w:t>
      </w:r>
      <w:proofErr w:type="gramEnd"/>
      <w:r w:rsidRPr="00305AEB">
        <w:rPr>
          <w:rFonts w:cs="Tahoma"/>
          <w:szCs w:val="20"/>
        </w:rPr>
        <w:t xml:space="preserve"> e sostiene spese deducibili dal reddito locale per 15.000,00 Euro.</w:t>
      </w:r>
    </w:p>
    <w:p w14:paraId="4E7292F4" w14:textId="77777777" w:rsidR="008D15F0" w:rsidRDefault="008D15F0" w:rsidP="00186726">
      <w:pPr>
        <w:tabs>
          <w:tab w:val="left" w:pos="7371"/>
          <w:tab w:val="right" w:pos="8080"/>
        </w:tabs>
        <w:rPr>
          <w:rFonts w:cs="Tahoma"/>
          <w:szCs w:val="20"/>
        </w:rPr>
      </w:pPr>
      <w:r w:rsidRPr="00305AEB">
        <w:rPr>
          <w:rFonts w:cs="Tahoma"/>
          <w:szCs w:val="20"/>
        </w:rPr>
        <w:t>Tale soggetto risulta tassato nello Stato estero su un reddito imponibile di 10.000,00. Il quadro RL è così compilato:</w:t>
      </w:r>
    </w:p>
    <w:p w14:paraId="78DE3073" w14:textId="703FDD2C" w:rsidR="00385137" w:rsidRPr="00305AEB" w:rsidRDefault="005E522B" w:rsidP="00186726">
      <w:pPr>
        <w:tabs>
          <w:tab w:val="left" w:pos="7371"/>
          <w:tab w:val="right" w:pos="8080"/>
        </w:tabs>
        <w:rPr>
          <w:rFonts w:cs="Tahoma"/>
          <w:szCs w:val="20"/>
        </w:rPr>
      </w:pPr>
      <w:r>
        <w:rPr>
          <w:rFonts w:cs="Tahoma"/>
          <w:noProof/>
          <w:szCs w:val="20"/>
        </w:rPr>
        <w:drawing>
          <wp:inline distT="0" distB="0" distL="0" distR="0" wp14:anchorId="34A6B38A" wp14:editId="07B97165">
            <wp:extent cx="5844540" cy="351790"/>
            <wp:effectExtent l="0" t="0" r="3810" b="0"/>
            <wp:docPr id="35042722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44540" cy="351790"/>
                    </a:xfrm>
                    <a:prstGeom prst="rect">
                      <a:avLst/>
                    </a:prstGeom>
                    <a:noFill/>
                    <a:ln>
                      <a:noFill/>
                    </a:ln>
                  </pic:spPr>
                </pic:pic>
              </a:graphicData>
            </a:graphic>
          </wp:inline>
        </w:drawing>
      </w:r>
    </w:p>
    <w:p w14:paraId="1C7C6C9D" w14:textId="5D14C4A3" w:rsidR="008D15F0" w:rsidRPr="00305AEB" w:rsidRDefault="008D15F0" w:rsidP="00186726">
      <w:pPr>
        <w:tabs>
          <w:tab w:val="left" w:pos="7371"/>
          <w:tab w:val="right" w:pos="8080"/>
        </w:tabs>
        <w:rPr>
          <w:rFonts w:cs="Tahoma"/>
          <w:szCs w:val="20"/>
        </w:rPr>
      </w:pPr>
    </w:p>
    <w:p w14:paraId="6C5F91EF" w14:textId="77777777" w:rsidR="008D15F0" w:rsidRPr="00305AEB" w:rsidRDefault="008D15F0" w:rsidP="00186726">
      <w:pPr>
        <w:pStyle w:val="Sottotitolo"/>
        <w:rPr>
          <w:rFonts w:cs="Tahoma"/>
          <w:spacing w:val="0"/>
        </w:rPr>
      </w:pPr>
    </w:p>
    <w:p w14:paraId="01070B20" w14:textId="77777777" w:rsidR="007630E9" w:rsidRPr="00305AEB" w:rsidRDefault="007630E9" w:rsidP="00186726">
      <w:pPr>
        <w:rPr>
          <w:rFonts w:cs="Tahoma"/>
          <w:b/>
          <w:szCs w:val="20"/>
        </w:rPr>
        <w:sectPr w:rsidR="007630E9" w:rsidRPr="00305AEB" w:rsidSect="00471E5B">
          <w:pgSz w:w="11906" w:h="16838" w:code="9"/>
          <w:pgMar w:top="1418" w:right="1418" w:bottom="510" w:left="1276" w:header="709" w:footer="567" w:gutter="0"/>
          <w:pgNumType w:chapStyle="1"/>
          <w:cols w:space="708"/>
          <w:titlePg/>
          <w:docGrid w:linePitch="360"/>
        </w:sectPr>
      </w:pPr>
    </w:p>
    <w:bookmarkStart w:id="78" w:name="_Toc441598941"/>
    <w:bookmarkStart w:id="79" w:name="_Toc441599369"/>
    <w:bookmarkStart w:id="80" w:name="_Toc441597044"/>
    <w:bookmarkStart w:id="81" w:name="_Toc441598940"/>
    <w:bookmarkStart w:id="82" w:name="_Toc441599368"/>
    <w:bookmarkStart w:id="83" w:name="_Toc441600367"/>
    <w:bookmarkStart w:id="84" w:name="_Toc515199989"/>
    <w:bookmarkStart w:id="85" w:name="_Toc526517352"/>
    <w:bookmarkStart w:id="86" w:name="_Toc161933156"/>
    <w:p w14:paraId="11B48E60" w14:textId="5A601597" w:rsidR="008D15F0" w:rsidRPr="00E74279" w:rsidRDefault="00E22CE6" w:rsidP="00E74279">
      <w:pPr>
        <w:pStyle w:val="Titolo1"/>
      </w:pPr>
      <w:r w:rsidRPr="00186726">
        <w:rPr>
          <w:noProof/>
        </w:rPr>
        <w:lastRenderedPageBreak/>
        <mc:AlternateContent>
          <mc:Choice Requires="wps">
            <w:drawing>
              <wp:anchor distT="0" distB="0" distL="114300" distR="114300" simplePos="0" relativeHeight="251652608" behindDoc="0" locked="0" layoutInCell="1" allowOverlap="1" wp14:anchorId="03FAB391" wp14:editId="33292C1B">
                <wp:simplePos x="0" y="0"/>
                <wp:positionH relativeFrom="margin">
                  <wp:align>center</wp:align>
                </wp:positionH>
                <wp:positionV relativeFrom="paragraph">
                  <wp:posOffset>313055</wp:posOffset>
                </wp:positionV>
                <wp:extent cx="2438400" cy="0"/>
                <wp:effectExtent l="0" t="0" r="0" b="0"/>
                <wp:wrapNone/>
                <wp:docPr id="26" name="Auto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19050">
                          <a:solidFill>
                            <a:srgbClr val="40404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D8C45A" id="AutoShape 123" o:spid="_x0000_s1026" type="#_x0000_t32" style="position:absolute;margin-left:0;margin-top:24.65pt;width:192pt;height:0;z-index:2516526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" strokecolor="#404040" strokeweight="1.5pt">
                <w10:wrap anchorx="margin"/>
              </v:shape>
            </w:pict>
          </mc:Fallback>
        </mc:AlternateContent>
      </w:r>
      <w:bookmarkEnd w:id="78"/>
      <w:bookmarkEnd w:id="79"/>
      <w:r w:rsidR="008D15F0" w:rsidRPr="00E74279">
        <w:t>4.</w:t>
      </w:r>
      <w:bookmarkEnd w:id="80"/>
      <w:bookmarkEnd w:id="81"/>
      <w:bookmarkEnd w:id="82"/>
      <w:bookmarkEnd w:id="83"/>
      <w:bookmarkEnd w:id="84"/>
      <w:bookmarkEnd w:id="85"/>
      <w:r w:rsidRPr="007177D8">
        <w:br/>
      </w:r>
      <w:r w:rsidR="008D15F0" w:rsidRPr="00186726">
        <w:t>Pensioni</w:t>
      </w:r>
      <w:bookmarkEnd w:id="86"/>
    </w:p>
    <w:p w14:paraId="56C6ADB3" w14:textId="77777777" w:rsidR="008D15F0" w:rsidRPr="00305AEB" w:rsidRDefault="008D15F0" w:rsidP="00186726">
      <w:pPr>
        <w:rPr>
          <w:rFonts w:cs="Tahoma"/>
        </w:rPr>
      </w:pPr>
    </w:p>
    <w:p w14:paraId="1F02880B" w14:textId="77777777" w:rsidR="008D15F0" w:rsidRPr="00305AEB" w:rsidRDefault="008D15F0" w:rsidP="00186726">
      <w:pPr>
        <w:rPr>
          <w:rFonts w:cs="Tahoma"/>
        </w:rPr>
      </w:pPr>
    </w:p>
    <w:p w14:paraId="3F29C392" w14:textId="06428B5E" w:rsidR="0069364A" w:rsidRPr="00305AEB" w:rsidRDefault="0069364A" w:rsidP="00186726">
      <w:pPr>
        <w:rPr>
          <w:rFonts w:cs="Tahoma"/>
        </w:rPr>
      </w:pPr>
    </w:p>
    <w:p w14:paraId="41E9463A" w14:textId="6B239DCB" w:rsidR="007630E9" w:rsidRPr="00305AEB" w:rsidRDefault="007630E9" w:rsidP="00186726">
      <w:pPr>
        <w:rPr>
          <w:rFonts w:cs="Tahoma"/>
        </w:rPr>
      </w:pPr>
    </w:p>
    <w:p w14:paraId="506960B8" w14:textId="07AD2F7E" w:rsidR="007630E9" w:rsidRPr="00305AEB" w:rsidRDefault="007630E9" w:rsidP="00186726">
      <w:pPr>
        <w:rPr>
          <w:rFonts w:cs="Tahoma"/>
        </w:rPr>
      </w:pPr>
    </w:p>
    <w:p w14:paraId="299AA8C2" w14:textId="77777777" w:rsidR="007630E9" w:rsidRPr="00305AEB" w:rsidRDefault="007630E9" w:rsidP="00186726">
      <w:pPr>
        <w:rPr>
          <w:rFonts w:cs="Tahoma"/>
        </w:rPr>
      </w:pPr>
    </w:p>
    <w:p w14:paraId="40408D02" w14:textId="77777777" w:rsidR="008D15F0" w:rsidRPr="00305AEB" w:rsidRDefault="008D15F0" w:rsidP="00186726">
      <w:pPr>
        <w:pStyle w:val="Sottotitolo"/>
        <w:rPr>
          <w:rFonts w:cs="Tahoma"/>
          <w:spacing w:val="0"/>
        </w:rPr>
      </w:pPr>
      <w:bookmarkStart w:id="87" w:name="_Toc161933157"/>
      <w:r w:rsidRPr="00305AEB">
        <w:rPr>
          <w:rFonts w:cs="Tahoma"/>
          <w:spacing w:val="0"/>
        </w:rPr>
        <w:t>4.1 Premessa</w:t>
      </w:r>
      <w:bookmarkEnd w:id="87"/>
    </w:p>
    <w:p w14:paraId="076E5ED2" w14:textId="77777777" w:rsidR="008D15F0" w:rsidRPr="00305AEB" w:rsidRDefault="008D15F0" w:rsidP="00186726">
      <w:pPr>
        <w:tabs>
          <w:tab w:val="left" w:pos="7371"/>
          <w:tab w:val="right" w:pos="8080"/>
        </w:tabs>
        <w:rPr>
          <w:rFonts w:cs="Tahoma"/>
          <w:szCs w:val="20"/>
        </w:rPr>
      </w:pPr>
      <w:r w:rsidRPr="00305AEB">
        <w:rPr>
          <w:rFonts w:cs="Tahoma"/>
          <w:szCs w:val="20"/>
        </w:rPr>
        <w:t>Ai sensi dell’art. 49, comma 2, lett. a) del TUIR, costituiscono redditi di lavoro dipendente le pensioni di ogni genere e gli assegni ad esse equiparate.</w:t>
      </w:r>
    </w:p>
    <w:p w14:paraId="303850A4" w14:textId="77777777" w:rsidR="008D15F0" w:rsidRPr="00305AEB" w:rsidRDefault="008D15F0" w:rsidP="00186726">
      <w:pPr>
        <w:tabs>
          <w:tab w:val="left" w:pos="7371"/>
          <w:tab w:val="right" w:pos="8080"/>
        </w:tabs>
        <w:rPr>
          <w:rFonts w:cs="Tahoma"/>
          <w:szCs w:val="20"/>
        </w:rPr>
      </w:pPr>
      <w:r w:rsidRPr="00305AEB">
        <w:rPr>
          <w:rFonts w:cs="Tahoma"/>
          <w:szCs w:val="20"/>
        </w:rPr>
        <w:t>Le pensioni estere percepite da soggetti residenti in Italia sono, in base all’art. 3 del TUIR, tassabili in Italia.</w:t>
      </w:r>
    </w:p>
    <w:p w14:paraId="7B7A7FD0" w14:textId="77777777" w:rsidR="008D15F0" w:rsidRPr="00305AEB" w:rsidRDefault="008D15F0" w:rsidP="00186726">
      <w:pPr>
        <w:tabs>
          <w:tab w:val="left" w:pos="7371"/>
          <w:tab w:val="right" w:pos="8080"/>
        </w:tabs>
        <w:rPr>
          <w:rFonts w:cs="Tahoma"/>
          <w:szCs w:val="20"/>
        </w:rPr>
      </w:pPr>
      <w:r w:rsidRPr="00305AEB">
        <w:rPr>
          <w:rFonts w:cs="Tahoma"/>
          <w:szCs w:val="20"/>
        </w:rPr>
        <w:t>In materia di tassazione delle pensioni prodotte all’estero, la disciplina “interna” non prevede però particolari disposizioni.</w:t>
      </w:r>
    </w:p>
    <w:p w14:paraId="25863F68" w14:textId="77777777" w:rsidR="008D15F0" w:rsidRPr="00305AEB" w:rsidRDefault="008D15F0" w:rsidP="00186726">
      <w:pPr>
        <w:tabs>
          <w:tab w:val="left" w:pos="7371"/>
          <w:tab w:val="right" w:pos="8080"/>
        </w:tabs>
        <w:rPr>
          <w:rFonts w:cs="Tahoma"/>
          <w:szCs w:val="20"/>
        </w:rPr>
      </w:pPr>
      <w:r w:rsidRPr="00305AEB">
        <w:rPr>
          <w:rFonts w:cs="Tahoma"/>
          <w:szCs w:val="20"/>
        </w:rPr>
        <w:t>Quindi, sarà necessario esaminare cosa dispongono le Convenzioni riguardo a tale tipologia reddituale.</w:t>
      </w:r>
    </w:p>
    <w:p w14:paraId="2A3B418A" w14:textId="77777777" w:rsidR="0069364A" w:rsidRPr="00305AEB" w:rsidRDefault="0069364A" w:rsidP="00186726">
      <w:pPr>
        <w:tabs>
          <w:tab w:val="left" w:pos="7371"/>
          <w:tab w:val="right" w:pos="8080"/>
        </w:tabs>
        <w:rPr>
          <w:rFonts w:cs="Tahoma"/>
          <w:szCs w:val="20"/>
        </w:rPr>
      </w:pPr>
    </w:p>
    <w:p w14:paraId="3E4E0CEC" w14:textId="77777777" w:rsidR="008D15F0" w:rsidRPr="00305AEB" w:rsidRDefault="008D15F0" w:rsidP="00186726">
      <w:pPr>
        <w:pStyle w:val="Sottotitolo"/>
        <w:rPr>
          <w:rFonts w:cs="Tahoma"/>
          <w:spacing w:val="0"/>
        </w:rPr>
      </w:pPr>
      <w:bookmarkStart w:id="88" w:name="_Toc441597046"/>
      <w:bookmarkStart w:id="89" w:name="_Toc441598942"/>
      <w:bookmarkStart w:id="90" w:name="_Toc441599370"/>
      <w:bookmarkStart w:id="91" w:name="_Toc161933158"/>
      <w:r w:rsidRPr="00305AEB">
        <w:rPr>
          <w:rFonts w:cs="Tahoma"/>
          <w:spacing w:val="0"/>
        </w:rPr>
        <w:t xml:space="preserve">4.2 </w:t>
      </w:r>
      <w:bookmarkEnd w:id="88"/>
      <w:bookmarkEnd w:id="89"/>
      <w:bookmarkEnd w:id="90"/>
      <w:r w:rsidRPr="00305AEB">
        <w:rPr>
          <w:rFonts w:cs="Tahoma"/>
          <w:spacing w:val="0"/>
        </w:rPr>
        <w:t>Le Convenzioni contro le doppie imposizioni</w:t>
      </w:r>
      <w:bookmarkEnd w:id="91"/>
    </w:p>
    <w:p w14:paraId="53527FA4" w14:textId="77777777" w:rsidR="008D15F0" w:rsidRPr="00305AEB" w:rsidRDefault="008D15F0" w:rsidP="00186726">
      <w:pPr>
        <w:tabs>
          <w:tab w:val="left" w:pos="7371"/>
          <w:tab w:val="right" w:pos="8080"/>
        </w:tabs>
        <w:rPr>
          <w:rFonts w:cs="Tahoma"/>
          <w:szCs w:val="20"/>
        </w:rPr>
      </w:pPr>
      <w:r w:rsidRPr="00305AEB">
        <w:rPr>
          <w:rFonts w:cs="Tahoma"/>
          <w:szCs w:val="20"/>
        </w:rPr>
        <w:t>In ambito convenzionale, le pensioni sono infatti disciplinate in base ai seguenti articoli:</w:t>
      </w:r>
    </w:p>
    <w:p w14:paraId="1EF7A27A" w14:textId="77777777" w:rsidR="008D15F0" w:rsidRPr="00305AEB" w:rsidRDefault="008D15F0" w:rsidP="00186726">
      <w:pPr>
        <w:pStyle w:val="Paragrafoelenco"/>
        <w:numPr>
          <w:ilvl w:val="0"/>
          <w:numId w:val="25"/>
        </w:numPr>
        <w:tabs>
          <w:tab w:val="left" w:pos="7371"/>
          <w:tab w:val="right" w:pos="8080"/>
        </w:tabs>
        <w:rPr>
          <w:rFonts w:cs="Tahoma"/>
          <w:szCs w:val="20"/>
        </w:rPr>
      </w:pPr>
      <w:r w:rsidRPr="00305AEB">
        <w:rPr>
          <w:rFonts w:cs="Tahoma"/>
          <w:szCs w:val="20"/>
        </w:rPr>
        <w:t>all’art. 18 del modello OCSE, per le pensioni “private”;</w:t>
      </w:r>
    </w:p>
    <w:p w14:paraId="1D20EB61" w14:textId="77777777" w:rsidR="008D15F0" w:rsidRPr="00305AEB" w:rsidRDefault="008D15F0" w:rsidP="00186726">
      <w:pPr>
        <w:pStyle w:val="Paragrafoelenco"/>
        <w:numPr>
          <w:ilvl w:val="0"/>
          <w:numId w:val="25"/>
        </w:numPr>
        <w:tabs>
          <w:tab w:val="left" w:pos="7371"/>
          <w:tab w:val="right" w:pos="8080"/>
        </w:tabs>
        <w:rPr>
          <w:rFonts w:cs="Tahoma"/>
          <w:szCs w:val="20"/>
        </w:rPr>
      </w:pPr>
      <w:r w:rsidRPr="00305AEB">
        <w:rPr>
          <w:rFonts w:cs="Tahoma"/>
          <w:szCs w:val="20"/>
        </w:rPr>
        <w:t>al successivo art. 19, se si tratta di pensioni “pubbliche”.</w:t>
      </w:r>
    </w:p>
    <w:p w14:paraId="12F29F8A" w14:textId="77777777" w:rsidR="008D15F0" w:rsidRPr="00305AEB" w:rsidRDefault="008D15F0" w:rsidP="00186726">
      <w:pPr>
        <w:tabs>
          <w:tab w:val="left" w:pos="7371"/>
          <w:tab w:val="right" w:pos="8080"/>
        </w:tabs>
        <w:rPr>
          <w:rFonts w:cs="Tahoma"/>
          <w:szCs w:val="20"/>
        </w:rPr>
      </w:pPr>
      <w:r w:rsidRPr="00305AEB">
        <w:rPr>
          <w:rFonts w:cs="Tahoma"/>
          <w:szCs w:val="20"/>
        </w:rPr>
        <w:t xml:space="preserve">L’art. 18 del modello OCSE prevede che – salvo quanto previsto dall’art. 19 riguardante lo svolgimento di funzioni pubbliche – le pensioni e le altre remunerazioni analoghe pagate ad un residente di uno Stato contraente in relazione ad un cessato impiego, sono imponibili </w:t>
      </w:r>
      <w:r w:rsidRPr="00305AEB">
        <w:rPr>
          <w:rFonts w:cs="Tahoma"/>
          <w:b/>
          <w:bCs/>
          <w:szCs w:val="20"/>
        </w:rPr>
        <w:t>soltanto</w:t>
      </w:r>
      <w:r w:rsidRPr="00305AEB">
        <w:rPr>
          <w:rFonts w:cs="Tahoma"/>
          <w:szCs w:val="20"/>
        </w:rPr>
        <w:t xml:space="preserve"> in detto Stato.</w:t>
      </w:r>
    </w:p>
    <w:p w14:paraId="00DF2690" w14:textId="77777777" w:rsidR="008D15F0" w:rsidRPr="00305AEB" w:rsidRDefault="008D15F0" w:rsidP="00186726">
      <w:pPr>
        <w:tabs>
          <w:tab w:val="left" w:pos="7371"/>
          <w:tab w:val="right" w:pos="8080"/>
        </w:tabs>
        <w:rPr>
          <w:rFonts w:cs="Tahoma"/>
          <w:szCs w:val="20"/>
        </w:rPr>
      </w:pPr>
      <w:r w:rsidRPr="00305AEB">
        <w:rPr>
          <w:rFonts w:cs="Tahoma"/>
          <w:bCs/>
          <w:szCs w:val="20"/>
        </w:rPr>
        <w:t xml:space="preserve">Quindi, </w:t>
      </w:r>
      <w:r w:rsidRPr="00305AEB">
        <w:rPr>
          <w:rFonts w:cs="Tahoma"/>
          <w:szCs w:val="20"/>
        </w:rPr>
        <w:t>in linea generale, il modello convenzionale prevede la tassazione delle pensioni “private” soltanto nello Stato di residenza del percettore, con esenzione da tassazione da parte dello Stato della fonte.</w:t>
      </w:r>
    </w:p>
    <w:p w14:paraId="0BD702FC" w14:textId="504AEE19" w:rsidR="008D15F0" w:rsidRPr="00305AEB" w:rsidRDefault="00E74279" w:rsidP="00186726">
      <w:pPr>
        <w:tabs>
          <w:tab w:val="left" w:pos="7371"/>
          <w:tab w:val="right" w:pos="8080"/>
        </w:tabs>
        <w:rPr>
          <w:rFonts w:cs="Tahoma"/>
          <w:szCs w:val="20"/>
        </w:rPr>
      </w:pPr>
      <w:r>
        <w:rPr>
          <w:rFonts w:cs="Tahoma"/>
          <w:szCs w:val="20"/>
        </w:rPr>
        <w:lastRenderedPageBreak/>
        <w:t>È</w:t>
      </w:r>
      <w:r w:rsidR="008D15F0" w:rsidRPr="00305AEB">
        <w:rPr>
          <w:rFonts w:cs="Tahoma"/>
          <w:szCs w:val="20"/>
        </w:rPr>
        <w:t xml:space="preserve"> possibile però che alcuni trattati prevedano regole diverse, come per esempio la Convenzione tra l’Italia e la Francia, che prevede la tassazione concorrente delle pensioni sia nello Stato della fonte che nello Stato della residenza.</w:t>
      </w:r>
    </w:p>
    <w:p w14:paraId="529A3884" w14:textId="77777777" w:rsidR="008D15F0" w:rsidRPr="00305AEB" w:rsidRDefault="008D15F0" w:rsidP="00186726">
      <w:pPr>
        <w:tabs>
          <w:tab w:val="left" w:pos="7371"/>
          <w:tab w:val="right" w:pos="8080"/>
        </w:tabs>
        <w:rPr>
          <w:rFonts w:cs="Tahoma"/>
          <w:szCs w:val="20"/>
        </w:rPr>
      </w:pPr>
      <w:r w:rsidRPr="00305AEB">
        <w:rPr>
          <w:rFonts w:cs="Tahoma"/>
          <w:szCs w:val="20"/>
        </w:rPr>
        <w:t>L’art. 19 del modello OCSE prevede, in generale, la tassazione delle “pensioni pubbliche” solo nello Stato da cui provengono (Stato della fonte), con esenzione da tassazione da parte dello Stato di residenza. Anche in questo caso, è possibile però che alcuni trattati prevedano regole diverse.</w:t>
      </w:r>
    </w:p>
    <w:p w14:paraId="0177036D" w14:textId="77777777" w:rsidR="008D15F0" w:rsidRPr="00305AEB" w:rsidRDefault="008D15F0" w:rsidP="00186726">
      <w:pPr>
        <w:tabs>
          <w:tab w:val="left" w:pos="7371"/>
          <w:tab w:val="right" w:pos="8080"/>
        </w:tabs>
        <w:rPr>
          <w:rFonts w:cs="Tahoma"/>
          <w:szCs w:val="20"/>
        </w:rPr>
      </w:pPr>
      <w:r w:rsidRPr="00305AEB">
        <w:rPr>
          <w:rFonts w:cs="Tahoma"/>
          <w:szCs w:val="20"/>
        </w:rPr>
        <w:t>Il modello convenzionale prevede invece la tassazione delle “pensioni pubbliche” solo nello Stato di residenza del percettore, qualora il pensionato abbia la nazionalità di tale Stato. Sarà comunque necessario guardare di volta in volta la Convenzione per capire se vi sono delle diversità e specificità applicabili al caso che si sta analizzando.</w:t>
      </w:r>
    </w:p>
    <w:p w14:paraId="4DCB11C3" w14:textId="77777777" w:rsidR="0069364A" w:rsidRPr="00305AEB" w:rsidRDefault="0069364A" w:rsidP="00186726">
      <w:pPr>
        <w:pStyle w:val="Sottotitolo"/>
        <w:rPr>
          <w:rFonts w:cs="Tahoma"/>
          <w:spacing w:val="0"/>
        </w:rPr>
      </w:pPr>
    </w:p>
    <w:p w14:paraId="02754348" w14:textId="77777777" w:rsidR="008D15F0" w:rsidRPr="00305AEB" w:rsidRDefault="008D15F0" w:rsidP="00186726">
      <w:pPr>
        <w:pStyle w:val="Sottotitolo"/>
        <w:rPr>
          <w:rFonts w:cs="Tahoma"/>
          <w:spacing w:val="0"/>
        </w:rPr>
      </w:pPr>
      <w:bookmarkStart w:id="92" w:name="_Toc161933159"/>
      <w:r w:rsidRPr="00305AEB">
        <w:rPr>
          <w:rFonts w:cs="Tahoma"/>
          <w:spacing w:val="0"/>
        </w:rPr>
        <w:t>4.3 Modalità di tassazione</w:t>
      </w:r>
      <w:bookmarkEnd w:id="92"/>
    </w:p>
    <w:p w14:paraId="67A2CD23" w14:textId="77777777" w:rsidR="008D15F0" w:rsidRPr="00305AEB" w:rsidRDefault="008D15F0" w:rsidP="00186726">
      <w:pPr>
        <w:tabs>
          <w:tab w:val="left" w:pos="7371"/>
          <w:tab w:val="right" w:pos="8080"/>
        </w:tabs>
        <w:rPr>
          <w:rFonts w:cs="Tahoma"/>
          <w:szCs w:val="20"/>
        </w:rPr>
      </w:pPr>
      <w:r w:rsidRPr="00305AEB">
        <w:rPr>
          <w:rFonts w:cs="Tahoma"/>
          <w:szCs w:val="20"/>
        </w:rPr>
        <w:t>I redditi derivanti dalle pensioni estere percepite da soggetti residenti in Italia, qualora siano assoggettabili a tassazione in Italia, sono generalmente imponibili in base al regime “ordinario”.</w:t>
      </w:r>
    </w:p>
    <w:p w14:paraId="6BA4A975" w14:textId="77777777" w:rsidR="008D15F0" w:rsidRPr="00305AEB" w:rsidRDefault="008D15F0" w:rsidP="00186726">
      <w:pPr>
        <w:tabs>
          <w:tab w:val="left" w:pos="7371"/>
          <w:tab w:val="right" w:pos="8080"/>
        </w:tabs>
        <w:rPr>
          <w:rFonts w:cs="Tahoma"/>
          <w:szCs w:val="20"/>
        </w:rPr>
      </w:pPr>
      <w:r w:rsidRPr="00305AEB">
        <w:rPr>
          <w:rFonts w:cs="Tahoma"/>
          <w:szCs w:val="20"/>
        </w:rPr>
        <w:t>Sono però previste alcune eccezioni, che determinano:</w:t>
      </w:r>
    </w:p>
    <w:p w14:paraId="2705D402" w14:textId="77777777" w:rsidR="008D15F0" w:rsidRPr="00305AEB" w:rsidRDefault="008D15F0" w:rsidP="00186726">
      <w:pPr>
        <w:pStyle w:val="Paragrafoelenco"/>
        <w:numPr>
          <w:ilvl w:val="0"/>
          <w:numId w:val="26"/>
        </w:numPr>
        <w:tabs>
          <w:tab w:val="left" w:pos="7371"/>
          <w:tab w:val="right" w:pos="8080"/>
        </w:tabs>
        <w:rPr>
          <w:rFonts w:cs="Tahoma"/>
          <w:szCs w:val="20"/>
        </w:rPr>
      </w:pPr>
      <w:r w:rsidRPr="00305AEB">
        <w:rPr>
          <w:rFonts w:cs="Tahoma"/>
          <w:szCs w:val="20"/>
        </w:rPr>
        <w:t>l’applicazione di una ritenuta a titolo d’imposta (pensioni AVS della Svizzera);</w:t>
      </w:r>
    </w:p>
    <w:p w14:paraId="25A316C9" w14:textId="77777777" w:rsidR="008D15F0" w:rsidRPr="00305AEB" w:rsidRDefault="008D15F0" w:rsidP="00186726">
      <w:pPr>
        <w:pStyle w:val="Paragrafoelenco"/>
        <w:numPr>
          <w:ilvl w:val="0"/>
          <w:numId w:val="26"/>
        </w:numPr>
        <w:tabs>
          <w:tab w:val="left" w:pos="7371"/>
          <w:tab w:val="right" w:pos="8080"/>
        </w:tabs>
        <w:rPr>
          <w:rFonts w:cs="Tahoma"/>
          <w:szCs w:val="20"/>
        </w:rPr>
      </w:pPr>
      <w:r w:rsidRPr="00305AEB">
        <w:rPr>
          <w:rFonts w:cs="Tahoma"/>
          <w:szCs w:val="20"/>
        </w:rPr>
        <w:t>l’applicazione di una imposta sostitutiva (pensionati esteri che si trasferiscono nelle Regioni del Mezzogiorno);</w:t>
      </w:r>
    </w:p>
    <w:p w14:paraId="7CADF07C" w14:textId="77777777" w:rsidR="008D15F0" w:rsidRPr="00305AEB" w:rsidRDefault="008D15F0" w:rsidP="00186726">
      <w:pPr>
        <w:pStyle w:val="Paragrafoelenco"/>
        <w:numPr>
          <w:ilvl w:val="0"/>
          <w:numId w:val="26"/>
        </w:numPr>
        <w:tabs>
          <w:tab w:val="left" w:pos="7371"/>
          <w:tab w:val="right" w:pos="8080"/>
        </w:tabs>
        <w:rPr>
          <w:rFonts w:cs="Tahoma"/>
          <w:szCs w:val="20"/>
        </w:rPr>
      </w:pPr>
      <w:r w:rsidRPr="00305AEB">
        <w:rPr>
          <w:rFonts w:cs="Tahoma"/>
          <w:szCs w:val="20"/>
        </w:rPr>
        <w:t>l’esclusione da tassazione (es. rendite e pensioni estere equiparate alle rendite INAIL, pensioni di guerra).</w:t>
      </w:r>
    </w:p>
    <w:p w14:paraId="37EFD296" w14:textId="77777777" w:rsidR="008D15F0" w:rsidRPr="00305AEB" w:rsidRDefault="008D15F0" w:rsidP="00186726">
      <w:pPr>
        <w:tabs>
          <w:tab w:val="left" w:pos="7371"/>
          <w:tab w:val="right" w:pos="8080"/>
        </w:tabs>
        <w:rPr>
          <w:rFonts w:cs="Tahoma"/>
          <w:szCs w:val="20"/>
        </w:rPr>
      </w:pPr>
      <w:r w:rsidRPr="00305AEB">
        <w:rPr>
          <w:rFonts w:cs="Tahoma"/>
          <w:szCs w:val="20"/>
        </w:rPr>
        <w:t>Nel regime ordinario il reddito derivante dalle pensioni estere soggetto a tassazione in Italia è costituito dall’intero ammontare lordo percepito, a meno che una parte di esso sia riferibile a trattamenti che beneficiano dell’esclusione da tassazione.</w:t>
      </w:r>
    </w:p>
    <w:p w14:paraId="066EA2FB" w14:textId="77777777" w:rsidR="008D15F0" w:rsidRPr="00305AEB" w:rsidRDefault="008D15F0" w:rsidP="00186726">
      <w:pPr>
        <w:tabs>
          <w:tab w:val="left" w:pos="7371"/>
          <w:tab w:val="right" w:pos="8080"/>
        </w:tabs>
        <w:rPr>
          <w:rFonts w:cs="Tahoma"/>
          <w:szCs w:val="20"/>
        </w:rPr>
      </w:pPr>
      <w:r w:rsidRPr="00305AEB">
        <w:rPr>
          <w:rFonts w:cs="Tahoma"/>
          <w:szCs w:val="20"/>
        </w:rPr>
        <w:t>Se le somme percepite non sono denominate in euro, la conversione avviene secondo le regole generali stabilite dall’art. 9 comma 2 del TUIR, per cui occorre adottare il cambio del giorno in cui esse sono state percepite o del giorno antecedente più prossimo o, in mancanza, il cambio del mese in cui le somme sono state percepite.</w:t>
      </w:r>
    </w:p>
    <w:p w14:paraId="5D6F2C88" w14:textId="77777777" w:rsidR="008D15F0" w:rsidRPr="00305AEB" w:rsidRDefault="008D15F0" w:rsidP="00186726">
      <w:pPr>
        <w:tabs>
          <w:tab w:val="left" w:pos="7371"/>
          <w:tab w:val="right" w:pos="8080"/>
        </w:tabs>
        <w:rPr>
          <w:rFonts w:cs="Tahoma"/>
          <w:szCs w:val="20"/>
        </w:rPr>
      </w:pPr>
      <w:r w:rsidRPr="00305AEB">
        <w:rPr>
          <w:rFonts w:cs="Tahoma"/>
          <w:szCs w:val="20"/>
        </w:rPr>
        <w:t>Qualora lo Stato estero prevedesse deduzioni forfetarie o no tax area che non sono applicabili secondo la normativa fiscale italiana, occorre procedere a rideterminare il reddito estero secondo la normativa fiscale italiana.</w:t>
      </w:r>
    </w:p>
    <w:p w14:paraId="499529E5" w14:textId="77777777" w:rsidR="008D15F0" w:rsidRPr="00305AEB" w:rsidRDefault="008D15F0" w:rsidP="00186726">
      <w:pPr>
        <w:pStyle w:val="Sottotitolo"/>
        <w:rPr>
          <w:rFonts w:cs="Tahoma"/>
          <w:spacing w:val="0"/>
        </w:rPr>
      </w:pPr>
      <w:bookmarkStart w:id="93" w:name="_Toc161933160"/>
      <w:r w:rsidRPr="00305AEB">
        <w:rPr>
          <w:rFonts w:cs="Tahoma"/>
          <w:spacing w:val="0"/>
        </w:rPr>
        <w:lastRenderedPageBreak/>
        <w:t>4.4 Credito per le imposte pagate all’estero</w:t>
      </w:r>
      <w:bookmarkEnd w:id="93"/>
    </w:p>
    <w:p w14:paraId="7A75181F" w14:textId="77777777" w:rsidR="008D15F0" w:rsidRPr="00305AEB" w:rsidRDefault="008D15F0" w:rsidP="00186726">
      <w:pPr>
        <w:tabs>
          <w:tab w:val="left" w:pos="7371"/>
          <w:tab w:val="right" w:pos="8080"/>
        </w:tabs>
        <w:rPr>
          <w:rFonts w:cs="Tahoma"/>
          <w:szCs w:val="20"/>
        </w:rPr>
      </w:pPr>
      <w:r w:rsidRPr="00305AEB">
        <w:rPr>
          <w:rFonts w:cs="Tahoma"/>
          <w:szCs w:val="20"/>
        </w:rPr>
        <w:t>In relazione alle pensioni estere, ai fini della tassazione in Italia spetta il credito per le imposte pagate all’estero a titolo definitivo, ai sensi dell’art. 165 del TUIR, qualora:</w:t>
      </w:r>
    </w:p>
    <w:p w14:paraId="792B469C" w14:textId="77777777" w:rsidR="008D15F0" w:rsidRPr="00305AEB" w:rsidRDefault="008D15F0" w:rsidP="00186726">
      <w:pPr>
        <w:pStyle w:val="Paragrafoelenco"/>
        <w:numPr>
          <w:ilvl w:val="0"/>
          <w:numId w:val="27"/>
        </w:numPr>
        <w:tabs>
          <w:tab w:val="left" w:pos="7371"/>
          <w:tab w:val="right" w:pos="8080"/>
        </w:tabs>
        <w:rPr>
          <w:rFonts w:cs="Tahoma"/>
          <w:szCs w:val="20"/>
        </w:rPr>
      </w:pPr>
      <w:r w:rsidRPr="00305AEB">
        <w:rPr>
          <w:rFonts w:cs="Tahoma"/>
          <w:szCs w:val="20"/>
        </w:rPr>
        <w:t>non esiste una Convenzione contro le doppie imposizioni;</w:t>
      </w:r>
    </w:p>
    <w:p w14:paraId="0C40B780" w14:textId="77777777" w:rsidR="008D15F0" w:rsidRPr="00305AEB" w:rsidRDefault="008D15F0" w:rsidP="00186726">
      <w:pPr>
        <w:pStyle w:val="Paragrafoelenco"/>
        <w:numPr>
          <w:ilvl w:val="0"/>
          <w:numId w:val="27"/>
        </w:numPr>
        <w:tabs>
          <w:tab w:val="left" w:pos="7371"/>
          <w:tab w:val="right" w:pos="8080"/>
        </w:tabs>
        <w:rPr>
          <w:rFonts w:cs="Tahoma"/>
          <w:szCs w:val="20"/>
        </w:rPr>
      </w:pPr>
      <w:r w:rsidRPr="00305AEB">
        <w:rPr>
          <w:rFonts w:cs="Tahoma"/>
          <w:szCs w:val="20"/>
        </w:rPr>
        <w:t>oppure esiste una Convenzione contro le doppie imposizioni in base alla quale le pensioni devono essere assoggettate a tassazione sia nello Stato estero che in Italia.</w:t>
      </w:r>
    </w:p>
    <w:p w14:paraId="29CC6179" w14:textId="77777777" w:rsidR="008D15F0" w:rsidRPr="00305AEB" w:rsidRDefault="008D15F0" w:rsidP="00186726">
      <w:pPr>
        <w:tabs>
          <w:tab w:val="left" w:pos="7371"/>
          <w:tab w:val="right" w:pos="8080"/>
        </w:tabs>
        <w:rPr>
          <w:rFonts w:cs="Tahoma"/>
          <w:szCs w:val="20"/>
        </w:rPr>
      </w:pPr>
      <w:r w:rsidRPr="00305AEB">
        <w:rPr>
          <w:rFonts w:cs="Tahoma"/>
          <w:szCs w:val="20"/>
        </w:rPr>
        <w:t>Il credito per le imposte pagate all’estero si determina in base alle regole generali, non essendo previste specifiche disposizioni per le pensioni.</w:t>
      </w:r>
    </w:p>
    <w:p w14:paraId="20C42CBC" w14:textId="77777777" w:rsidR="008D15F0" w:rsidRPr="00305AEB" w:rsidRDefault="008D15F0" w:rsidP="00186726">
      <w:pPr>
        <w:tabs>
          <w:tab w:val="left" w:pos="7371"/>
          <w:tab w:val="right" w:pos="8080"/>
        </w:tabs>
        <w:rPr>
          <w:rFonts w:cs="Tahoma"/>
          <w:szCs w:val="20"/>
        </w:rPr>
      </w:pPr>
      <w:r w:rsidRPr="00305AEB">
        <w:rPr>
          <w:rFonts w:cs="Tahoma"/>
          <w:szCs w:val="20"/>
        </w:rPr>
        <w:t>Qualora il reddito derivante dalla pensione estera dovesse essere rideterminato sulla base della disciplina italiana, l’imposta estera da detrarre da quella italiana a norma dell’art. 165 del TUIR dovrebbe essere assunta in maniera piena, anche se il reddito tassato all’estero non coincide con quello tassato in Italia.</w:t>
      </w:r>
    </w:p>
    <w:p w14:paraId="20F4F09B" w14:textId="77777777" w:rsidR="008D15F0" w:rsidRPr="00305AEB" w:rsidRDefault="008D15F0" w:rsidP="00186726">
      <w:pPr>
        <w:tabs>
          <w:tab w:val="left" w:pos="7371"/>
          <w:tab w:val="right" w:pos="8080"/>
        </w:tabs>
        <w:rPr>
          <w:rFonts w:cs="Tahoma"/>
          <w:szCs w:val="20"/>
        </w:rPr>
      </w:pPr>
      <w:r w:rsidRPr="00305AEB">
        <w:rPr>
          <w:rFonts w:cs="Tahoma"/>
          <w:szCs w:val="20"/>
        </w:rPr>
        <w:t>Secondo la C.M. n. 9/E del 2015, infatti, il principio contenuto nell’art. 165 co. 10 del TUIR – secondo cui, se il reddito di fonte estera concorre solo in misura parziale alla formazione del reddito complessivo, anche l’imposta estera da detrarre deve essere ridotta in modo corrispondente – non riguarda le ipotesi nelle quali, per effetto di differenti modalità di determinazione del reddito nei due ordinamenti, l’ammontare del reddito estero assoggettato a tassazione in Italia non coincide con l’ammontare tassato nello Stato estero.</w:t>
      </w:r>
    </w:p>
    <w:p w14:paraId="6FBF28A5" w14:textId="77777777" w:rsidR="0069364A" w:rsidRPr="00305AEB" w:rsidRDefault="0069364A" w:rsidP="00186726">
      <w:pPr>
        <w:pStyle w:val="Sottotitolo"/>
        <w:rPr>
          <w:rFonts w:cs="Tahoma"/>
          <w:spacing w:val="0"/>
        </w:rPr>
      </w:pPr>
    </w:p>
    <w:p w14:paraId="138746F1" w14:textId="77777777" w:rsidR="008D15F0" w:rsidRPr="00305AEB" w:rsidRDefault="008D15F0" w:rsidP="00186726">
      <w:pPr>
        <w:pStyle w:val="Sottotitolo"/>
        <w:rPr>
          <w:rFonts w:cs="Tahoma"/>
          <w:spacing w:val="0"/>
        </w:rPr>
      </w:pPr>
      <w:bookmarkStart w:id="94" w:name="_Toc161933161"/>
      <w:r w:rsidRPr="00305AEB">
        <w:rPr>
          <w:rFonts w:cs="Tahoma"/>
          <w:spacing w:val="0"/>
        </w:rPr>
        <w:t>4.5 Rimborso delle imposte applicate all’estero</w:t>
      </w:r>
      <w:bookmarkEnd w:id="94"/>
    </w:p>
    <w:p w14:paraId="47B94EE9" w14:textId="77777777" w:rsidR="008D15F0" w:rsidRPr="00305AEB" w:rsidRDefault="008D15F0" w:rsidP="00186726">
      <w:pPr>
        <w:tabs>
          <w:tab w:val="left" w:pos="7371"/>
          <w:tab w:val="right" w:pos="8080"/>
        </w:tabs>
        <w:rPr>
          <w:rFonts w:cs="Tahoma"/>
          <w:szCs w:val="20"/>
        </w:rPr>
      </w:pPr>
      <w:r w:rsidRPr="00305AEB">
        <w:rPr>
          <w:rFonts w:cs="Tahoma"/>
          <w:szCs w:val="20"/>
        </w:rPr>
        <w:t>Se, invece, in relazione alle pensioni estere, esiste una Convenzione contro le doppie imposizioni in base alla quale tali pensioni devono essere assoggettate a tassazione esclusivamente in Italia, ma hanno subito un prelievo fiscale anche nello Stato estero di erogazione, ai fini dell’imposizione in Italia non si può usufruire del credito per le imposte pagate all’estero a titolo definitivo, ai sensi dell’art. 165 del TUIR.</w:t>
      </w:r>
    </w:p>
    <w:p w14:paraId="6557E530" w14:textId="4D8DD103" w:rsidR="0069364A" w:rsidRDefault="008D15F0" w:rsidP="005E522B">
      <w:pPr>
        <w:tabs>
          <w:tab w:val="left" w:pos="7371"/>
          <w:tab w:val="right" w:pos="8080"/>
        </w:tabs>
        <w:rPr>
          <w:rFonts w:cs="Tahoma"/>
          <w:szCs w:val="20"/>
        </w:rPr>
      </w:pPr>
      <w:r w:rsidRPr="00305AEB">
        <w:rPr>
          <w:rFonts w:cs="Tahoma"/>
          <w:szCs w:val="20"/>
        </w:rPr>
        <w:t>In tal caso, il pensionato residente in Italia ha diritto al rimborso delle imposte pagate nello Stato estero, ma tale rimborso va chiesto all’autorità estera competente in base alle procedure da questa stabilite.</w:t>
      </w:r>
    </w:p>
    <w:p w14:paraId="719C727B" w14:textId="77777777" w:rsidR="00E22CE6" w:rsidRPr="005E522B" w:rsidRDefault="00E22CE6" w:rsidP="005E522B">
      <w:pPr>
        <w:tabs>
          <w:tab w:val="left" w:pos="7371"/>
          <w:tab w:val="right" w:pos="8080"/>
        </w:tabs>
        <w:rPr>
          <w:rFonts w:cs="Tahoma"/>
          <w:szCs w:val="20"/>
        </w:rPr>
      </w:pPr>
    </w:p>
    <w:p w14:paraId="780059B8" w14:textId="77777777" w:rsidR="008D15F0" w:rsidRPr="00305AEB" w:rsidRDefault="008D15F0" w:rsidP="00186726">
      <w:pPr>
        <w:pStyle w:val="Sottotitolo"/>
        <w:rPr>
          <w:rFonts w:cs="Tahoma"/>
          <w:spacing w:val="0"/>
        </w:rPr>
      </w:pPr>
      <w:bookmarkStart w:id="95" w:name="_Toc161933162"/>
      <w:r w:rsidRPr="00305AEB">
        <w:rPr>
          <w:rFonts w:cs="Tahoma"/>
          <w:spacing w:val="0"/>
        </w:rPr>
        <w:t>4.6 Indicazione del reddito nel quadro RC del modello REDDITI</w:t>
      </w:r>
      <w:bookmarkEnd w:id="95"/>
      <w:r w:rsidRPr="00305AEB">
        <w:rPr>
          <w:rFonts w:cs="Tahoma"/>
          <w:spacing w:val="0"/>
        </w:rPr>
        <w:t xml:space="preserve"> </w:t>
      </w:r>
    </w:p>
    <w:p w14:paraId="407EEEA4" w14:textId="77777777" w:rsidR="008D15F0" w:rsidRPr="00305AEB" w:rsidRDefault="008D15F0" w:rsidP="00186726">
      <w:pPr>
        <w:tabs>
          <w:tab w:val="left" w:pos="7371"/>
          <w:tab w:val="right" w:pos="8080"/>
        </w:tabs>
        <w:rPr>
          <w:rFonts w:cs="Tahoma"/>
          <w:szCs w:val="20"/>
        </w:rPr>
      </w:pPr>
      <w:r w:rsidRPr="00305AEB">
        <w:rPr>
          <w:rFonts w:cs="Tahoma"/>
          <w:szCs w:val="20"/>
        </w:rPr>
        <w:t>Per i soggetti che presentano il modello REDDITI PF, i redditi derivanti da pensioni estere sono dichiarati nel quadro RC.</w:t>
      </w:r>
    </w:p>
    <w:p w14:paraId="6095DAB9" w14:textId="77777777" w:rsidR="008D15F0" w:rsidRPr="00305AEB" w:rsidRDefault="008D15F0" w:rsidP="00186726">
      <w:pPr>
        <w:tabs>
          <w:tab w:val="left" w:pos="7371"/>
          <w:tab w:val="right" w:pos="8080"/>
        </w:tabs>
        <w:rPr>
          <w:rFonts w:cs="Tahoma"/>
          <w:szCs w:val="20"/>
        </w:rPr>
      </w:pPr>
      <w:r w:rsidRPr="00305AEB">
        <w:rPr>
          <w:rFonts w:cs="Tahoma"/>
          <w:szCs w:val="20"/>
        </w:rPr>
        <w:lastRenderedPageBreak/>
        <w:t>Nei righi da RC1 a RC3 occorre indicare, nella colonna 1 “Tipologia reddito”, il codice “1”, che identifica il reddito di pensione.</w:t>
      </w:r>
    </w:p>
    <w:p w14:paraId="6FF4E08B" w14:textId="77777777" w:rsidR="008D15F0" w:rsidRPr="00305AEB" w:rsidRDefault="008D15F0" w:rsidP="00186726">
      <w:pPr>
        <w:tabs>
          <w:tab w:val="left" w:pos="7371"/>
          <w:tab w:val="right" w:pos="8080"/>
        </w:tabs>
        <w:rPr>
          <w:rFonts w:cs="Tahoma"/>
          <w:szCs w:val="20"/>
        </w:rPr>
      </w:pPr>
      <w:r w:rsidRPr="00305AEB">
        <w:rPr>
          <w:rFonts w:cs="Tahoma"/>
          <w:szCs w:val="20"/>
        </w:rPr>
        <w:t>In relazione ai contribuenti residenti in Italia che percepiscono redditi prodotti all’estero, occorre compilare anche la colonna 4 “Redditi esteri”, indicando il codice “1”, che identifica le pensioni di fonte estera se nella colonna 1 è stato indicato il codice “1”.</w:t>
      </w:r>
    </w:p>
    <w:p w14:paraId="20571F92" w14:textId="77777777" w:rsidR="008D15F0" w:rsidRPr="00305AEB" w:rsidRDefault="008D15F0" w:rsidP="00186726">
      <w:pPr>
        <w:tabs>
          <w:tab w:val="left" w:pos="7371"/>
          <w:tab w:val="right" w:pos="8080"/>
        </w:tabs>
        <w:rPr>
          <w:rFonts w:cs="Tahoma"/>
          <w:szCs w:val="20"/>
        </w:rPr>
      </w:pPr>
      <w:r w:rsidRPr="00305AEB">
        <w:rPr>
          <w:rFonts w:cs="Tahoma"/>
          <w:szCs w:val="20"/>
        </w:rPr>
        <w:t xml:space="preserve">Nel rigo RC6, colonna 2, occorre inoltre indicare </w:t>
      </w:r>
      <w:proofErr w:type="gramStart"/>
      <w:r w:rsidRPr="00305AEB">
        <w:rPr>
          <w:rFonts w:cs="Tahoma"/>
          <w:szCs w:val="20"/>
        </w:rPr>
        <w:t>i numero</w:t>
      </w:r>
      <w:proofErr w:type="gramEnd"/>
      <w:r w:rsidRPr="00305AEB">
        <w:rPr>
          <w:rFonts w:cs="Tahoma"/>
          <w:szCs w:val="20"/>
        </w:rPr>
        <w:t xml:space="preserve"> dei giorni per i quali spetta la pensione (365 se per l’intero anno), che rilevano nella determinazione delle eventuali detrazioni d’imposta spettanti ai sensi dell’art. 13 del TUIR.</w:t>
      </w:r>
    </w:p>
    <w:p w14:paraId="4962ED3E" w14:textId="77777777" w:rsidR="0069364A" w:rsidRPr="00305AEB" w:rsidRDefault="0069364A" w:rsidP="00186726">
      <w:pPr>
        <w:pStyle w:val="NUOVOSOTTOPARAGRAFO"/>
        <w:rPr>
          <w:rFonts w:cs="Tahoma"/>
        </w:rPr>
      </w:pPr>
    </w:p>
    <w:p w14:paraId="73344F1E" w14:textId="77777777" w:rsidR="008D15F0" w:rsidRPr="00305AEB" w:rsidRDefault="008D15F0" w:rsidP="00186726">
      <w:pPr>
        <w:pStyle w:val="NUOVOSOTTOPARAGRAFO"/>
        <w:rPr>
          <w:rFonts w:cs="Tahoma"/>
        </w:rPr>
      </w:pPr>
      <w:bookmarkStart w:id="96" w:name="_Toc161933163"/>
      <w:r w:rsidRPr="00305AEB">
        <w:rPr>
          <w:rFonts w:cs="Tahoma"/>
        </w:rPr>
        <w:t>4.6.1 Pensione tassata nei modi ordinari</w:t>
      </w:r>
      <w:bookmarkEnd w:id="96"/>
      <w:r w:rsidRPr="00305AEB">
        <w:rPr>
          <w:rFonts w:cs="Tahoma"/>
        </w:rPr>
        <w:t xml:space="preserve"> </w:t>
      </w:r>
    </w:p>
    <w:p w14:paraId="38CC2BCF" w14:textId="77777777" w:rsidR="008D15F0" w:rsidRPr="00305AEB" w:rsidRDefault="008D15F0" w:rsidP="00186726">
      <w:pPr>
        <w:tabs>
          <w:tab w:val="left" w:pos="7371"/>
          <w:tab w:val="right" w:pos="8080"/>
        </w:tabs>
        <w:rPr>
          <w:rFonts w:cs="Tahoma"/>
          <w:szCs w:val="20"/>
        </w:rPr>
      </w:pPr>
      <w:r w:rsidRPr="00305AEB">
        <w:rPr>
          <w:rFonts w:cs="Tahoma"/>
          <w:szCs w:val="20"/>
        </w:rPr>
        <w:t>Si consideri, ad esempio, un pensionato italiano che ha percepito una pensione estera:</w:t>
      </w:r>
    </w:p>
    <w:p w14:paraId="0BB96C0F" w14:textId="695E354D" w:rsidR="008D15F0" w:rsidRPr="00305AEB" w:rsidRDefault="008D15F0" w:rsidP="00186726">
      <w:pPr>
        <w:pStyle w:val="Paragrafoelenco"/>
        <w:numPr>
          <w:ilvl w:val="0"/>
          <w:numId w:val="28"/>
        </w:numPr>
        <w:tabs>
          <w:tab w:val="left" w:pos="7371"/>
          <w:tab w:val="right" w:pos="8080"/>
        </w:tabs>
        <w:rPr>
          <w:rFonts w:cs="Tahoma"/>
          <w:szCs w:val="20"/>
        </w:rPr>
      </w:pPr>
      <w:r w:rsidRPr="00305AEB">
        <w:rPr>
          <w:rFonts w:cs="Tahoma"/>
          <w:szCs w:val="20"/>
        </w:rPr>
        <w:t xml:space="preserve">in relazione all’intero anno </w:t>
      </w:r>
      <w:r w:rsidR="003372E2">
        <w:rPr>
          <w:rFonts w:cs="Tahoma"/>
          <w:szCs w:val="20"/>
        </w:rPr>
        <w:t>2023</w:t>
      </w:r>
      <w:r w:rsidRPr="00305AEB">
        <w:rPr>
          <w:rFonts w:cs="Tahoma"/>
          <w:szCs w:val="20"/>
        </w:rPr>
        <w:t>;</w:t>
      </w:r>
    </w:p>
    <w:p w14:paraId="63733657" w14:textId="77777777" w:rsidR="008D15F0" w:rsidRPr="00305AEB" w:rsidRDefault="008D15F0" w:rsidP="00186726">
      <w:pPr>
        <w:pStyle w:val="Paragrafoelenco"/>
        <w:numPr>
          <w:ilvl w:val="0"/>
          <w:numId w:val="28"/>
        </w:numPr>
        <w:tabs>
          <w:tab w:val="left" w:pos="7371"/>
          <w:tab w:val="right" w:pos="8080"/>
        </w:tabs>
        <w:rPr>
          <w:rFonts w:cs="Tahoma"/>
          <w:szCs w:val="20"/>
        </w:rPr>
      </w:pPr>
      <w:r w:rsidRPr="00305AEB">
        <w:rPr>
          <w:rFonts w:cs="Tahoma"/>
          <w:szCs w:val="20"/>
        </w:rPr>
        <w:t>di ammontare complessivo pari a 25.000,00 euro;</w:t>
      </w:r>
    </w:p>
    <w:p w14:paraId="55F89EF7" w14:textId="77777777" w:rsidR="008D15F0" w:rsidRPr="00305AEB" w:rsidRDefault="008D15F0" w:rsidP="00186726">
      <w:pPr>
        <w:pStyle w:val="Paragrafoelenco"/>
        <w:numPr>
          <w:ilvl w:val="0"/>
          <w:numId w:val="28"/>
        </w:numPr>
        <w:tabs>
          <w:tab w:val="left" w:pos="7371"/>
          <w:tab w:val="right" w:pos="8080"/>
        </w:tabs>
        <w:rPr>
          <w:rFonts w:cs="Tahoma"/>
          <w:szCs w:val="20"/>
        </w:rPr>
      </w:pPr>
      <w:r w:rsidRPr="00305AEB">
        <w:rPr>
          <w:rFonts w:cs="Tahoma"/>
          <w:szCs w:val="20"/>
        </w:rPr>
        <w:t>imponibile solo in Italia.</w:t>
      </w:r>
    </w:p>
    <w:p w14:paraId="3DF75122" w14:textId="77777777" w:rsidR="008D15F0" w:rsidRDefault="008D15F0" w:rsidP="000F7D8F">
      <w:pPr>
        <w:tabs>
          <w:tab w:val="left" w:pos="7371"/>
          <w:tab w:val="right" w:pos="8080"/>
        </w:tabs>
        <w:rPr>
          <w:rFonts w:cs="Tahoma"/>
          <w:szCs w:val="20"/>
        </w:rPr>
      </w:pPr>
      <w:r w:rsidRPr="00305AEB">
        <w:rPr>
          <w:rFonts w:cs="Tahoma"/>
          <w:szCs w:val="20"/>
        </w:rPr>
        <w:t>Il quadro RC dovrà quindi essere compilato come segue:</w:t>
      </w:r>
    </w:p>
    <w:p w14:paraId="1BF3FC8A" w14:textId="7FB65314" w:rsidR="00846BF5" w:rsidRDefault="00846BF5" w:rsidP="000F7D8F">
      <w:pPr>
        <w:tabs>
          <w:tab w:val="left" w:pos="7371"/>
          <w:tab w:val="right" w:pos="8080"/>
        </w:tabs>
        <w:rPr>
          <w:rFonts w:cs="Tahoma"/>
          <w:szCs w:val="20"/>
        </w:rPr>
      </w:pPr>
      <w:r>
        <w:rPr>
          <w:rFonts w:cs="Tahoma"/>
          <w:noProof/>
          <w:szCs w:val="20"/>
        </w:rPr>
        <w:drawing>
          <wp:inline distT="0" distB="0" distL="0" distR="0" wp14:anchorId="109E22E0" wp14:editId="5C311C1A">
            <wp:extent cx="5849620" cy="1739900"/>
            <wp:effectExtent l="0" t="0" r="0" b="0"/>
            <wp:docPr id="1351630299"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630299" name="Immagine 1351630299"/>
                    <pic:cNvPicPr/>
                  </pic:nvPicPr>
                  <pic:blipFill>
                    <a:blip r:embed="rId23"/>
                    <a:stretch>
                      <a:fillRect/>
                    </a:stretch>
                  </pic:blipFill>
                  <pic:spPr>
                    <a:xfrm>
                      <a:off x="0" y="0"/>
                      <a:ext cx="5849620" cy="1739900"/>
                    </a:xfrm>
                    <a:prstGeom prst="rect">
                      <a:avLst/>
                    </a:prstGeom>
                  </pic:spPr>
                </pic:pic>
              </a:graphicData>
            </a:graphic>
          </wp:inline>
        </w:drawing>
      </w:r>
    </w:p>
    <w:p w14:paraId="4B3118EB" w14:textId="630FED28" w:rsidR="00E74279" w:rsidRPr="00305AEB" w:rsidRDefault="00E74279" w:rsidP="00186726">
      <w:pPr>
        <w:tabs>
          <w:tab w:val="left" w:pos="7371"/>
          <w:tab w:val="right" w:pos="8080"/>
        </w:tabs>
        <w:rPr>
          <w:rFonts w:cs="Tahoma"/>
          <w:szCs w:val="20"/>
        </w:rPr>
      </w:pPr>
    </w:p>
    <w:p w14:paraId="459242B7" w14:textId="19E0C6D5" w:rsidR="0069364A" w:rsidRPr="00305AEB" w:rsidRDefault="0069364A" w:rsidP="00186726">
      <w:pPr>
        <w:rPr>
          <w:rFonts w:cs="Tahoma"/>
          <w:b/>
          <w:i/>
        </w:rPr>
      </w:pPr>
    </w:p>
    <w:p w14:paraId="17165228" w14:textId="77777777" w:rsidR="008D15F0" w:rsidRPr="00305AEB" w:rsidRDefault="008D15F0" w:rsidP="00186726">
      <w:pPr>
        <w:pStyle w:val="NUOVOSOTTOPARAGRAFO"/>
        <w:rPr>
          <w:rFonts w:cs="Tahoma"/>
        </w:rPr>
      </w:pPr>
      <w:bookmarkStart w:id="97" w:name="_Toc161933164"/>
      <w:r w:rsidRPr="00305AEB">
        <w:rPr>
          <w:rFonts w:cs="Tahoma"/>
        </w:rPr>
        <w:t>4.6.2 Pensione tassata nei modi ordinari e non applicazione ritenute dal Paese erogante</w:t>
      </w:r>
      <w:bookmarkEnd w:id="97"/>
    </w:p>
    <w:p w14:paraId="4E5A7CAE" w14:textId="5E2FAD6D" w:rsidR="008D15F0" w:rsidRPr="00305AEB" w:rsidRDefault="008D15F0" w:rsidP="00186726">
      <w:pPr>
        <w:tabs>
          <w:tab w:val="left" w:pos="7371"/>
          <w:tab w:val="right" w:pos="8080"/>
        </w:tabs>
        <w:rPr>
          <w:rFonts w:cs="Tahoma"/>
          <w:szCs w:val="20"/>
        </w:rPr>
      </w:pPr>
      <w:r w:rsidRPr="00305AEB">
        <w:rPr>
          <w:rFonts w:cs="Tahoma"/>
          <w:szCs w:val="20"/>
        </w:rPr>
        <w:t>Facciamo l’esempio di una persona fisica residente fiscalmente in Italia che ha conseguito nel corso del 20</w:t>
      </w:r>
      <w:r w:rsidR="00062B7E" w:rsidRPr="00305AEB">
        <w:rPr>
          <w:rFonts w:cs="Tahoma"/>
          <w:szCs w:val="20"/>
        </w:rPr>
        <w:t>2</w:t>
      </w:r>
      <w:r w:rsidR="006C064B">
        <w:rPr>
          <w:rFonts w:cs="Tahoma"/>
          <w:szCs w:val="20"/>
        </w:rPr>
        <w:t>3</w:t>
      </w:r>
      <w:r w:rsidRPr="00305AEB">
        <w:rPr>
          <w:rFonts w:cs="Tahoma"/>
          <w:szCs w:val="20"/>
        </w:rPr>
        <w:t xml:space="preserve"> redditi da pensione dalla Spagna pari ad </w:t>
      </w:r>
      <w:proofErr w:type="gramStart"/>
      <w:r w:rsidRPr="00305AEB">
        <w:rPr>
          <w:rFonts w:cs="Tahoma"/>
          <w:szCs w:val="20"/>
        </w:rPr>
        <w:t>Euro</w:t>
      </w:r>
      <w:proofErr w:type="gramEnd"/>
      <w:r w:rsidRPr="00305AEB">
        <w:rPr>
          <w:rFonts w:cs="Tahoma"/>
          <w:szCs w:val="20"/>
        </w:rPr>
        <w:t xml:space="preserve"> 20.000.</w:t>
      </w:r>
    </w:p>
    <w:p w14:paraId="006E093D" w14:textId="77777777" w:rsidR="008D15F0" w:rsidRPr="00305AEB" w:rsidRDefault="008D15F0" w:rsidP="00186726">
      <w:pPr>
        <w:tabs>
          <w:tab w:val="left" w:pos="7371"/>
          <w:tab w:val="right" w:pos="8080"/>
        </w:tabs>
        <w:rPr>
          <w:rFonts w:cs="Tahoma"/>
          <w:szCs w:val="20"/>
        </w:rPr>
      </w:pPr>
      <w:r w:rsidRPr="00305AEB">
        <w:rPr>
          <w:rFonts w:cs="Tahoma"/>
          <w:szCs w:val="20"/>
        </w:rPr>
        <w:t>Tale pensione è una pensione c.d. privata e l’istituto erogante non ha applicato ritenute su tali redditi.</w:t>
      </w:r>
    </w:p>
    <w:p w14:paraId="18651D76" w14:textId="77777777" w:rsidR="008D15F0" w:rsidRPr="00305AEB" w:rsidRDefault="008D15F0" w:rsidP="00186726">
      <w:pPr>
        <w:tabs>
          <w:tab w:val="left" w:pos="7371"/>
          <w:tab w:val="right" w:pos="8080"/>
        </w:tabs>
        <w:rPr>
          <w:rFonts w:cs="Tahoma"/>
          <w:szCs w:val="20"/>
        </w:rPr>
      </w:pPr>
      <w:r w:rsidRPr="00305AEB">
        <w:rPr>
          <w:rFonts w:cs="Tahoma"/>
          <w:szCs w:val="20"/>
        </w:rPr>
        <w:lastRenderedPageBreak/>
        <w:t>In questo caso, l’art. 18 della Convenzione Italia – Spagna dispone che tali redditi devono essere tassati soltanto nel Paese di residenza del percipiente.</w:t>
      </w:r>
    </w:p>
    <w:p w14:paraId="7A280976" w14:textId="77777777" w:rsidR="008D15F0" w:rsidRPr="00305AEB" w:rsidRDefault="008D15F0" w:rsidP="00186726">
      <w:pPr>
        <w:tabs>
          <w:tab w:val="left" w:pos="7371"/>
          <w:tab w:val="right" w:pos="8080"/>
        </w:tabs>
        <w:rPr>
          <w:rFonts w:cs="Tahoma"/>
          <w:szCs w:val="20"/>
        </w:rPr>
      </w:pPr>
      <w:r w:rsidRPr="00305AEB">
        <w:rPr>
          <w:rFonts w:cs="Tahoma"/>
          <w:szCs w:val="20"/>
        </w:rPr>
        <w:t>Quindi, in questo caso quindi, lo Stato dove risiede l’ente o istituto che eroga le pensioni, dovrebbe esentare tali redditi, come di fatto è successo nel caso dell’esempio.</w:t>
      </w:r>
    </w:p>
    <w:p w14:paraId="6CFFF827" w14:textId="77777777" w:rsidR="008D15F0" w:rsidRPr="00305AEB" w:rsidRDefault="008D15F0" w:rsidP="00186726">
      <w:pPr>
        <w:tabs>
          <w:tab w:val="num" w:pos="1440"/>
          <w:tab w:val="left" w:pos="7371"/>
          <w:tab w:val="right" w:pos="8080"/>
        </w:tabs>
        <w:rPr>
          <w:rFonts w:cs="Tahoma"/>
          <w:szCs w:val="20"/>
        </w:rPr>
      </w:pPr>
      <w:r w:rsidRPr="00305AEB">
        <w:rPr>
          <w:rFonts w:cs="Tahoma"/>
          <w:szCs w:val="20"/>
        </w:rPr>
        <w:t xml:space="preserve">In tal caso, i 20.000 </w:t>
      </w:r>
      <w:proofErr w:type="gramStart"/>
      <w:r w:rsidRPr="00305AEB">
        <w:rPr>
          <w:rFonts w:cs="Tahoma"/>
          <w:szCs w:val="20"/>
        </w:rPr>
        <w:t>Euro</w:t>
      </w:r>
      <w:proofErr w:type="gramEnd"/>
      <w:r w:rsidRPr="00305AEB">
        <w:rPr>
          <w:rFonts w:cs="Tahoma"/>
          <w:szCs w:val="20"/>
        </w:rPr>
        <w:t xml:space="preserve"> devono essere indicati nel quadro C per la tassazione in Italia.</w:t>
      </w:r>
    </w:p>
    <w:p w14:paraId="32DFD134" w14:textId="77777777" w:rsidR="0069364A" w:rsidRPr="00305AEB" w:rsidRDefault="0069364A" w:rsidP="00186726">
      <w:pPr>
        <w:pStyle w:val="NUOVOSOTTOPARAGRAFO"/>
        <w:rPr>
          <w:rFonts w:cs="Tahoma"/>
        </w:rPr>
      </w:pPr>
    </w:p>
    <w:p w14:paraId="4F69740F" w14:textId="77777777" w:rsidR="008D15F0" w:rsidRPr="00305AEB" w:rsidRDefault="008D15F0" w:rsidP="00186726">
      <w:pPr>
        <w:pStyle w:val="NUOVOSOTTOPARAGRAFO"/>
        <w:rPr>
          <w:rFonts w:cs="Tahoma"/>
        </w:rPr>
      </w:pPr>
      <w:bookmarkStart w:id="98" w:name="_Toc161933165"/>
      <w:r w:rsidRPr="00305AEB">
        <w:rPr>
          <w:rFonts w:cs="Tahoma"/>
        </w:rPr>
        <w:t>4.6.</w:t>
      </w:r>
      <w:r w:rsidR="000D3611" w:rsidRPr="00305AEB">
        <w:rPr>
          <w:rFonts w:cs="Tahoma"/>
        </w:rPr>
        <w:t>3</w:t>
      </w:r>
      <w:r w:rsidRPr="00305AEB">
        <w:rPr>
          <w:rFonts w:cs="Tahoma"/>
        </w:rPr>
        <w:t xml:space="preserve"> Pensione tassata nei modi ordinari e applicazione ritenute dal Paese erogante</w:t>
      </w:r>
      <w:bookmarkEnd w:id="98"/>
    </w:p>
    <w:p w14:paraId="1B9637D2" w14:textId="661D225C" w:rsidR="008D15F0" w:rsidRPr="00305AEB" w:rsidRDefault="008D15F0" w:rsidP="00186726">
      <w:pPr>
        <w:tabs>
          <w:tab w:val="left" w:pos="7371"/>
          <w:tab w:val="right" w:pos="8080"/>
        </w:tabs>
        <w:rPr>
          <w:rFonts w:cs="Tahoma"/>
          <w:szCs w:val="20"/>
        </w:rPr>
      </w:pPr>
      <w:r w:rsidRPr="00305AEB">
        <w:rPr>
          <w:rFonts w:cs="Tahoma"/>
          <w:szCs w:val="20"/>
        </w:rPr>
        <w:t>Vediamo adesso l’esempio di una persona fisica residente fiscalmente in Italia che ha conseguito nel corso del 20</w:t>
      </w:r>
      <w:r w:rsidR="00062B7E" w:rsidRPr="00305AEB">
        <w:rPr>
          <w:rFonts w:cs="Tahoma"/>
          <w:szCs w:val="20"/>
        </w:rPr>
        <w:t>2</w:t>
      </w:r>
      <w:r w:rsidR="006C064B">
        <w:rPr>
          <w:rFonts w:cs="Tahoma"/>
          <w:szCs w:val="20"/>
        </w:rPr>
        <w:t>3</w:t>
      </w:r>
      <w:r w:rsidRPr="00305AEB">
        <w:rPr>
          <w:rFonts w:cs="Tahoma"/>
          <w:szCs w:val="20"/>
        </w:rPr>
        <w:t xml:space="preserve"> redditi da pensione dalla Norvegia pari a 12.000 </w:t>
      </w:r>
      <w:proofErr w:type="gramStart"/>
      <w:r w:rsidRPr="00305AEB">
        <w:rPr>
          <w:rFonts w:cs="Tahoma"/>
          <w:szCs w:val="20"/>
        </w:rPr>
        <w:t>Euro</w:t>
      </w:r>
      <w:proofErr w:type="gramEnd"/>
      <w:r w:rsidRPr="00305AEB">
        <w:rPr>
          <w:rFonts w:cs="Tahoma"/>
          <w:szCs w:val="20"/>
        </w:rPr>
        <w:t>.</w:t>
      </w:r>
    </w:p>
    <w:p w14:paraId="6CE83AFE" w14:textId="77777777" w:rsidR="008D15F0" w:rsidRPr="00305AEB" w:rsidRDefault="008D15F0" w:rsidP="00186726">
      <w:pPr>
        <w:tabs>
          <w:tab w:val="left" w:pos="7371"/>
          <w:tab w:val="right" w:pos="8080"/>
        </w:tabs>
        <w:rPr>
          <w:rFonts w:cs="Tahoma"/>
          <w:szCs w:val="20"/>
        </w:rPr>
      </w:pPr>
      <w:r w:rsidRPr="00305AEB">
        <w:rPr>
          <w:rFonts w:cs="Tahoma"/>
          <w:szCs w:val="20"/>
        </w:rPr>
        <w:t>Tale pensione è una pensione c.d. privata. In questo caso, l’istituto erogante ha applicato ritenute su tali redditi.</w:t>
      </w:r>
    </w:p>
    <w:p w14:paraId="242C1BF6" w14:textId="77777777" w:rsidR="008D15F0" w:rsidRPr="00305AEB" w:rsidRDefault="008D15F0" w:rsidP="00186726">
      <w:pPr>
        <w:tabs>
          <w:tab w:val="left" w:pos="7371"/>
          <w:tab w:val="right" w:pos="8080"/>
        </w:tabs>
        <w:rPr>
          <w:rFonts w:cs="Tahoma"/>
          <w:szCs w:val="20"/>
        </w:rPr>
      </w:pPr>
      <w:r w:rsidRPr="00305AEB">
        <w:rPr>
          <w:rFonts w:cs="Tahoma"/>
          <w:szCs w:val="20"/>
        </w:rPr>
        <w:t>Come sempre, sarà necessario analizzare cosa prevede la Convenzione contro le doppie imposizioni Italia – Norvegia.</w:t>
      </w:r>
    </w:p>
    <w:p w14:paraId="4B395F3E" w14:textId="77777777" w:rsidR="008D15F0" w:rsidRPr="00305AEB" w:rsidRDefault="008D15F0" w:rsidP="00186726">
      <w:pPr>
        <w:tabs>
          <w:tab w:val="left" w:pos="7371"/>
          <w:tab w:val="right" w:pos="8080"/>
        </w:tabs>
        <w:rPr>
          <w:rFonts w:cs="Tahoma"/>
          <w:szCs w:val="20"/>
        </w:rPr>
      </w:pPr>
      <w:r w:rsidRPr="00305AEB">
        <w:rPr>
          <w:rFonts w:cs="Tahoma"/>
          <w:szCs w:val="20"/>
        </w:rPr>
        <w:t>In questo caso, l’articolo 18 di tale Convenzione prevede che tali redditi debbano essere tassati soltanto nel Paese di residenza del percipiente.</w:t>
      </w:r>
    </w:p>
    <w:p w14:paraId="7307B42C" w14:textId="77777777" w:rsidR="008D15F0" w:rsidRPr="00305AEB" w:rsidRDefault="008D15F0" w:rsidP="00186726">
      <w:pPr>
        <w:tabs>
          <w:tab w:val="left" w:pos="7371"/>
          <w:tab w:val="right" w:pos="8080"/>
        </w:tabs>
        <w:rPr>
          <w:rFonts w:cs="Tahoma"/>
          <w:szCs w:val="20"/>
        </w:rPr>
      </w:pPr>
      <w:r w:rsidRPr="00305AEB">
        <w:rPr>
          <w:rFonts w:cs="Tahoma"/>
          <w:szCs w:val="20"/>
        </w:rPr>
        <w:t>In questo caso quindi, lo Stato dove risiede l’ente o istituto che eroga le pensioni, dovrebbe esentare tali redditi.</w:t>
      </w:r>
    </w:p>
    <w:p w14:paraId="0997F659" w14:textId="77777777" w:rsidR="008D15F0" w:rsidRPr="00305AEB" w:rsidRDefault="008D15F0" w:rsidP="00186726">
      <w:pPr>
        <w:tabs>
          <w:tab w:val="left" w:pos="7371"/>
          <w:tab w:val="right" w:pos="8080"/>
        </w:tabs>
        <w:rPr>
          <w:rFonts w:cs="Tahoma"/>
          <w:szCs w:val="20"/>
        </w:rPr>
      </w:pPr>
      <w:r w:rsidRPr="00305AEB">
        <w:rPr>
          <w:rFonts w:cs="Tahoma"/>
          <w:szCs w:val="20"/>
        </w:rPr>
        <w:t xml:space="preserve">In tal caso, i 12.000 </w:t>
      </w:r>
      <w:proofErr w:type="gramStart"/>
      <w:r w:rsidRPr="00305AEB">
        <w:rPr>
          <w:rFonts w:cs="Tahoma"/>
          <w:szCs w:val="20"/>
        </w:rPr>
        <w:t>Euro</w:t>
      </w:r>
      <w:proofErr w:type="gramEnd"/>
      <w:r w:rsidRPr="00305AEB">
        <w:rPr>
          <w:rFonts w:cs="Tahoma"/>
          <w:szCs w:val="20"/>
        </w:rPr>
        <w:t xml:space="preserve"> devono essere indicati nel quadro C per la tassazione in Italia, ma non sarà possibile beneficiare del credito per le imposte pagate all’estero. Sarà necessario chiedere all’istituto estero il rimborso delle ritenute effettuate su tali redditi.</w:t>
      </w:r>
    </w:p>
    <w:p w14:paraId="6595680A" w14:textId="77777777" w:rsidR="007630E9" w:rsidRPr="00305AEB" w:rsidRDefault="007630E9" w:rsidP="00186726">
      <w:pPr>
        <w:tabs>
          <w:tab w:val="left" w:pos="7371"/>
          <w:tab w:val="right" w:pos="8080"/>
        </w:tabs>
        <w:rPr>
          <w:rFonts w:cs="Tahoma"/>
          <w:szCs w:val="20"/>
        </w:rPr>
        <w:sectPr w:rsidR="007630E9" w:rsidRPr="00305AEB" w:rsidSect="00471E5B">
          <w:pgSz w:w="11906" w:h="16838" w:code="9"/>
          <w:pgMar w:top="1418" w:right="1418" w:bottom="510" w:left="1276" w:header="709" w:footer="567" w:gutter="0"/>
          <w:pgNumType w:chapStyle="1"/>
          <w:cols w:space="708"/>
          <w:titlePg/>
          <w:docGrid w:linePitch="360"/>
        </w:sectPr>
      </w:pPr>
    </w:p>
    <w:bookmarkStart w:id="99" w:name="_Toc515200040"/>
    <w:bookmarkStart w:id="100" w:name="_Toc515539237"/>
    <w:bookmarkStart w:id="101" w:name="_Toc518314804"/>
    <w:bookmarkStart w:id="102" w:name="_Toc518393283"/>
    <w:bookmarkStart w:id="103" w:name="_Toc526517358"/>
    <w:bookmarkStart w:id="104" w:name="_Toc161933166"/>
    <w:p w14:paraId="4BC0A29D" w14:textId="0B3FD860" w:rsidR="008D15F0" w:rsidRPr="00E74279" w:rsidRDefault="00E22CE6" w:rsidP="00E74279">
      <w:pPr>
        <w:pStyle w:val="Titolo1"/>
      </w:pPr>
      <w:r w:rsidRPr="00186726">
        <w:rPr>
          <w:noProof/>
        </w:rPr>
        <w:lastRenderedPageBreak/>
        <mc:AlternateContent>
          <mc:Choice Requires="wps">
            <w:drawing>
              <wp:anchor distT="0" distB="0" distL="114300" distR="114300" simplePos="0" relativeHeight="251658752" behindDoc="0" locked="0" layoutInCell="1" allowOverlap="1" wp14:anchorId="6FEA027C" wp14:editId="2B5C8669">
                <wp:simplePos x="0" y="0"/>
                <wp:positionH relativeFrom="margin">
                  <wp:align>center</wp:align>
                </wp:positionH>
                <wp:positionV relativeFrom="paragraph">
                  <wp:posOffset>293370</wp:posOffset>
                </wp:positionV>
                <wp:extent cx="2438400" cy="0"/>
                <wp:effectExtent l="0" t="0" r="0" b="0"/>
                <wp:wrapNone/>
                <wp:docPr id="146"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19050">
                          <a:solidFill>
                            <a:srgbClr val="40404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A7233A" id="AutoShape 120" o:spid="_x0000_s1026" type="#_x0000_t32" style="position:absolute;margin-left:0;margin-top:23.1pt;width:192pt;height:0;z-index:251658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" strokecolor="#404040" strokeweight="1.5pt">
                <w10:wrap anchorx="margin"/>
              </v:shape>
            </w:pict>
          </mc:Fallback>
        </mc:AlternateContent>
      </w:r>
      <w:r w:rsidR="008D15F0" w:rsidRPr="00E74279">
        <w:t>5.</w:t>
      </w:r>
      <w:bookmarkEnd w:id="99"/>
      <w:bookmarkEnd w:id="100"/>
      <w:bookmarkEnd w:id="101"/>
      <w:bookmarkEnd w:id="102"/>
      <w:bookmarkEnd w:id="103"/>
      <w:r w:rsidRPr="007177D8">
        <w:br/>
      </w:r>
      <w:r w:rsidR="008D15F0" w:rsidRPr="00186726">
        <w:t>I dividendi</w:t>
      </w:r>
      <w:bookmarkEnd w:id="104"/>
    </w:p>
    <w:p w14:paraId="382B334F" w14:textId="77777777" w:rsidR="008D15F0" w:rsidRPr="00305AEB" w:rsidRDefault="008D15F0" w:rsidP="00186726">
      <w:pPr>
        <w:rPr>
          <w:rFonts w:cs="Tahoma"/>
        </w:rPr>
      </w:pPr>
    </w:p>
    <w:p w14:paraId="6C5C221B" w14:textId="77777777" w:rsidR="0069364A" w:rsidRPr="00305AEB" w:rsidRDefault="0069364A" w:rsidP="00186726">
      <w:pPr>
        <w:rPr>
          <w:rFonts w:cs="Tahoma"/>
        </w:rPr>
      </w:pPr>
    </w:p>
    <w:p w14:paraId="25955FCB" w14:textId="2FC53182" w:rsidR="008D15F0" w:rsidRPr="00305AEB" w:rsidRDefault="008D15F0" w:rsidP="00186726">
      <w:pPr>
        <w:rPr>
          <w:rFonts w:cs="Tahoma"/>
        </w:rPr>
      </w:pPr>
    </w:p>
    <w:p w14:paraId="3B0914F4" w14:textId="3ED05A73" w:rsidR="007630E9" w:rsidRPr="00305AEB" w:rsidRDefault="007630E9" w:rsidP="00186726">
      <w:pPr>
        <w:rPr>
          <w:rFonts w:cs="Tahoma"/>
        </w:rPr>
      </w:pPr>
    </w:p>
    <w:p w14:paraId="5A2ABC00" w14:textId="347B3E1E" w:rsidR="007630E9" w:rsidRPr="00305AEB" w:rsidRDefault="007630E9" w:rsidP="00186726">
      <w:pPr>
        <w:rPr>
          <w:rFonts w:cs="Tahoma"/>
        </w:rPr>
      </w:pPr>
    </w:p>
    <w:p w14:paraId="02EF7293" w14:textId="77777777" w:rsidR="007630E9" w:rsidRPr="00305AEB" w:rsidRDefault="007630E9" w:rsidP="00186726">
      <w:pPr>
        <w:rPr>
          <w:rFonts w:cs="Tahoma"/>
        </w:rPr>
      </w:pPr>
    </w:p>
    <w:p w14:paraId="6E88BD7E" w14:textId="77777777" w:rsidR="008D15F0" w:rsidRPr="00305AEB" w:rsidRDefault="008D15F0" w:rsidP="00186726">
      <w:pPr>
        <w:tabs>
          <w:tab w:val="left" w:pos="7371"/>
          <w:tab w:val="right" w:pos="8080"/>
        </w:tabs>
        <w:rPr>
          <w:rFonts w:cs="Tahoma"/>
          <w:szCs w:val="20"/>
        </w:rPr>
      </w:pPr>
      <w:r w:rsidRPr="00305AEB">
        <w:rPr>
          <w:rFonts w:cs="Tahoma"/>
          <w:szCs w:val="20"/>
        </w:rPr>
        <w:t>La nozione di dividendo si trova all’art. 44, comma 2, lett. a) del TUIR che dispone che le partecipazioni al capitale o al patrimonio nonché i titoli e gli strumenti finanziari emessi da società ed enti non residenti si considerano similari alle azioni a condizione che la relativa remunerazione sia totalmente indeducibile nella determinazione del reddito nello Stato estero di residenza del soggetto emittente; a tale fine l'indeducibilità deve risultare da una dichiarazione dell'emittente stesso o da altri elementi certi e precisi.</w:t>
      </w:r>
    </w:p>
    <w:p w14:paraId="0EDA874F" w14:textId="77777777" w:rsidR="008D15F0" w:rsidRPr="00305AEB" w:rsidRDefault="008D15F0" w:rsidP="00186726">
      <w:pPr>
        <w:tabs>
          <w:tab w:val="left" w:pos="7371"/>
          <w:tab w:val="right" w:pos="8080"/>
        </w:tabs>
        <w:rPr>
          <w:rFonts w:cs="Tahoma"/>
          <w:szCs w:val="20"/>
        </w:rPr>
      </w:pPr>
      <w:r w:rsidRPr="00305AEB">
        <w:rPr>
          <w:rFonts w:cs="Tahoma"/>
          <w:szCs w:val="20"/>
        </w:rPr>
        <w:t>Non viene invece richiesto che gli strumenti finanziari rappresentino una partecipazione al patrimonio della società; ne consegue che tali condizioni si applicano anche agli strumenti di debito purché siano rispettati i requisiti sopra specificati.</w:t>
      </w:r>
    </w:p>
    <w:p w14:paraId="708590FA" w14:textId="7BDE09AD" w:rsidR="008D15F0" w:rsidRPr="00305AEB" w:rsidRDefault="008D15F0" w:rsidP="00186726">
      <w:pPr>
        <w:tabs>
          <w:tab w:val="left" w:pos="7371"/>
          <w:tab w:val="right" w:pos="8080"/>
        </w:tabs>
        <w:rPr>
          <w:rFonts w:cs="Tahoma"/>
          <w:szCs w:val="20"/>
        </w:rPr>
      </w:pPr>
      <w:r w:rsidRPr="00305AEB">
        <w:rPr>
          <w:rFonts w:cs="Tahoma"/>
          <w:szCs w:val="20"/>
        </w:rPr>
        <w:t xml:space="preserve">L'assimilazione alle azioni degli strumenti la cui remunerazione risulta indeducibile dal reddito dell'emittente non viene meno anche considerando che, per effetto di apposite modifiche apportate all'art. 89 del </w:t>
      </w:r>
      <w:r w:rsidR="000F3927" w:rsidRPr="00305AEB">
        <w:rPr>
          <w:rFonts w:cs="Tahoma"/>
          <w:szCs w:val="20"/>
        </w:rPr>
        <w:t>TUIR da parte della L. 122/2016</w:t>
      </w:r>
      <w:r w:rsidRPr="00305AEB">
        <w:rPr>
          <w:rFonts w:cs="Tahoma"/>
          <w:szCs w:val="20"/>
        </w:rPr>
        <w:t>, viene esteso il regime di esclusione parziale da IRES per gli strumenti "ibridi", limitatamente al 95% della quota delle remunerazioni indeducibile nella determinazione del reddito del soggetto erogante. </w:t>
      </w:r>
    </w:p>
    <w:p w14:paraId="4F17B843" w14:textId="77777777" w:rsidR="008D15F0" w:rsidRPr="00305AEB" w:rsidRDefault="008D15F0" w:rsidP="00186726">
      <w:pPr>
        <w:tabs>
          <w:tab w:val="left" w:pos="7371"/>
          <w:tab w:val="right" w:pos="8080"/>
        </w:tabs>
        <w:rPr>
          <w:rFonts w:cs="Tahoma"/>
          <w:szCs w:val="20"/>
        </w:rPr>
      </w:pPr>
      <w:r w:rsidRPr="00305AEB">
        <w:rPr>
          <w:rFonts w:cs="Tahoma"/>
          <w:szCs w:val="20"/>
        </w:rPr>
        <w:t>Occorre, poi, considerare che sotto il profilo del trattamento fiscale, sono assimilati ai dividendi:</w:t>
      </w:r>
    </w:p>
    <w:p w14:paraId="5C04BC7A" w14:textId="77777777" w:rsidR="008D15F0" w:rsidRPr="00305AEB" w:rsidRDefault="008D15F0" w:rsidP="00186726">
      <w:pPr>
        <w:pStyle w:val="Paragrafoelenco"/>
        <w:numPr>
          <w:ilvl w:val="0"/>
          <w:numId w:val="29"/>
        </w:numPr>
        <w:tabs>
          <w:tab w:val="left" w:pos="7371"/>
          <w:tab w:val="right" w:pos="8080"/>
        </w:tabs>
        <w:rPr>
          <w:rFonts w:cs="Tahoma"/>
          <w:szCs w:val="20"/>
        </w:rPr>
      </w:pPr>
      <w:r w:rsidRPr="00305AEB">
        <w:rPr>
          <w:rFonts w:cs="Tahoma"/>
          <w:szCs w:val="20"/>
        </w:rPr>
        <w:t>i proventi spettanti all'associato in partecipazione il cui apporto è diverso dal solo lavoro (non oggetto di analisi in questa sede);</w:t>
      </w:r>
    </w:p>
    <w:p w14:paraId="3CBF81DE" w14:textId="77777777" w:rsidR="008D15F0" w:rsidRPr="00305AEB" w:rsidRDefault="008D15F0" w:rsidP="00186726">
      <w:pPr>
        <w:pStyle w:val="Paragrafoelenco"/>
        <w:numPr>
          <w:ilvl w:val="0"/>
          <w:numId w:val="29"/>
        </w:numPr>
        <w:tabs>
          <w:tab w:val="left" w:pos="7371"/>
          <w:tab w:val="right" w:pos="8080"/>
        </w:tabs>
        <w:rPr>
          <w:rFonts w:cs="Tahoma"/>
          <w:szCs w:val="20"/>
        </w:rPr>
      </w:pPr>
      <w:r w:rsidRPr="00305AEB">
        <w:rPr>
          <w:rFonts w:cs="Tahoma"/>
          <w:szCs w:val="20"/>
        </w:rPr>
        <w:t>i proventi derivanti da titoli o altri strumenti finanziari la cui remunerazione è costituita totalmente dalla partecipazione ai risultati economici della società emittente, o di altre società appartenenti allo stesso gruppo, o dell'affare in relazione al quale i titoli e gli strumenti finanziari sono stati emessi (non oggetto di analisi in questa sede).</w:t>
      </w:r>
    </w:p>
    <w:p w14:paraId="19E5EA8E" w14:textId="1682CC83" w:rsidR="008D15F0" w:rsidRPr="00305AEB" w:rsidRDefault="008D15F0" w:rsidP="00186726">
      <w:pPr>
        <w:tabs>
          <w:tab w:val="left" w:pos="7371"/>
          <w:tab w:val="right" w:pos="8080"/>
        </w:tabs>
        <w:rPr>
          <w:rFonts w:cs="Tahoma"/>
          <w:szCs w:val="20"/>
        </w:rPr>
      </w:pPr>
      <w:r w:rsidRPr="00305AEB">
        <w:rPr>
          <w:rFonts w:cs="Tahoma"/>
          <w:szCs w:val="20"/>
        </w:rPr>
        <w:lastRenderedPageBreak/>
        <w:t>Oltre alla definizione prevista dalle norme italiane, è necessario verificare le disposizioni contenute nelle Convezioni per evitare la doppia imposizione internazionale. In merito, si osserva che l'art. 10, paragrafo 3, del modello OCSE definisce i dividendi come i redditi derivanti da:</w:t>
      </w:r>
    </w:p>
    <w:p w14:paraId="24641950" w14:textId="77777777" w:rsidR="008D15F0" w:rsidRPr="00305AEB" w:rsidRDefault="008D15F0" w:rsidP="00186726">
      <w:pPr>
        <w:pStyle w:val="Paragrafoelenco"/>
        <w:numPr>
          <w:ilvl w:val="0"/>
          <w:numId w:val="30"/>
        </w:numPr>
        <w:tabs>
          <w:tab w:val="left" w:pos="7371"/>
          <w:tab w:val="right" w:pos="8080"/>
        </w:tabs>
        <w:rPr>
          <w:rFonts w:cs="Tahoma"/>
          <w:szCs w:val="20"/>
        </w:rPr>
      </w:pPr>
      <w:r w:rsidRPr="00305AEB">
        <w:rPr>
          <w:rFonts w:cs="Tahoma"/>
          <w:szCs w:val="20"/>
        </w:rPr>
        <w:t>azioni;</w:t>
      </w:r>
    </w:p>
    <w:p w14:paraId="2F2BCFBB" w14:textId="77777777" w:rsidR="008D15F0" w:rsidRPr="00305AEB" w:rsidRDefault="008D15F0" w:rsidP="00186726">
      <w:pPr>
        <w:pStyle w:val="Paragrafoelenco"/>
        <w:numPr>
          <w:ilvl w:val="0"/>
          <w:numId w:val="30"/>
        </w:numPr>
        <w:tabs>
          <w:tab w:val="left" w:pos="7371"/>
          <w:tab w:val="right" w:pos="8080"/>
        </w:tabs>
        <w:rPr>
          <w:rFonts w:cs="Tahoma"/>
          <w:szCs w:val="20"/>
        </w:rPr>
      </w:pPr>
      <w:r w:rsidRPr="00305AEB">
        <w:rPr>
          <w:rFonts w:cs="Tahoma"/>
          <w:szCs w:val="20"/>
        </w:rPr>
        <w:t>certificati di godimento;</w:t>
      </w:r>
    </w:p>
    <w:p w14:paraId="3ECCFF37" w14:textId="77777777" w:rsidR="008D15F0" w:rsidRPr="00305AEB" w:rsidRDefault="008D15F0" w:rsidP="00186726">
      <w:pPr>
        <w:pStyle w:val="Paragrafoelenco"/>
        <w:numPr>
          <w:ilvl w:val="0"/>
          <w:numId w:val="30"/>
        </w:numPr>
        <w:tabs>
          <w:tab w:val="left" w:pos="7371"/>
          <w:tab w:val="right" w:pos="8080"/>
        </w:tabs>
        <w:rPr>
          <w:rFonts w:cs="Tahoma"/>
          <w:szCs w:val="20"/>
        </w:rPr>
      </w:pPr>
      <w:r w:rsidRPr="00305AEB">
        <w:rPr>
          <w:rFonts w:cs="Tahoma"/>
          <w:szCs w:val="20"/>
        </w:rPr>
        <w:t>quote di partecipazioni minerarie;</w:t>
      </w:r>
    </w:p>
    <w:p w14:paraId="5967C95B" w14:textId="77777777" w:rsidR="008D15F0" w:rsidRPr="00305AEB" w:rsidRDefault="008D15F0" w:rsidP="00186726">
      <w:pPr>
        <w:pStyle w:val="Paragrafoelenco"/>
        <w:numPr>
          <w:ilvl w:val="0"/>
          <w:numId w:val="29"/>
        </w:numPr>
        <w:tabs>
          <w:tab w:val="left" w:pos="7371"/>
          <w:tab w:val="right" w:pos="8080"/>
        </w:tabs>
        <w:rPr>
          <w:rFonts w:cs="Tahoma"/>
          <w:szCs w:val="20"/>
        </w:rPr>
      </w:pPr>
      <w:r w:rsidRPr="00305AEB">
        <w:rPr>
          <w:rFonts w:cs="Tahoma"/>
          <w:szCs w:val="20"/>
        </w:rPr>
        <w:t>quote di spettanza dei soci fondatori ed altre quote di partecipazione agli utili diversi dai crediti e dai prestiti;</w:t>
      </w:r>
    </w:p>
    <w:p w14:paraId="7DA482DE" w14:textId="77777777" w:rsidR="008D15F0" w:rsidRPr="00305AEB" w:rsidRDefault="008D15F0" w:rsidP="00186726">
      <w:pPr>
        <w:pStyle w:val="Paragrafoelenco"/>
        <w:numPr>
          <w:ilvl w:val="0"/>
          <w:numId w:val="29"/>
        </w:numPr>
        <w:tabs>
          <w:tab w:val="left" w:pos="7371"/>
          <w:tab w:val="right" w:pos="8080"/>
        </w:tabs>
        <w:rPr>
          <w:rFonts w:cs="Tahoma"/>
          <w:szCs w:val="20"/>
        </w:rPr>
      </w:pPr>
      <w:r w:rsidRPr="00305AEB">
        <w:rPr>
          <w:rFonts w:cs="Tahoma"/>
          <w:szCs w:val="20"/>
        </w:rPr>
        <w:t>altre quote sociali i cui redditi sono equiparati a quelli azionari nella legislazione dello Stato alla fonte.</w:t>
      </w:r>
    </w:p>
    <w:p w14:paraId="2B3D848C" w14:textId="77777777" w:rsidR="008D15F0" w:rsidRPr="00305AEB" w:rsidRDefault="008D15F0" w:rsidP="00186726">
      <w:pPr>
        <w:pStyle w:val="Paragrafoelenco"/>
        <w:tabs>
          <w:tab w:val="left" w:pos="7371"/>
          <w:tab w:val="right" w:pos="8080"/>
        </w:tabs>
        <w:contextualSpacing w:val="0"/>
        <w:rPr>
          <w:rFonts w:cs="Tahoma"/>
          <w:szCs w:val="20"/>
        </w:rPr>
      </w:pPr>
    </w:p>
    <w:p w14:paraId="7212B91C" w14:textId="77777777" w:rsidR="008D15F0" w:rsidRPr="00305AEB" w:rsidRDefault="008D15F0" w:rsidP="00186726">
      <w:pPr>
        <w:pStyle w:val="Sottotitolo"/>
        <w:rPr>
          <w:rFonts w:cs="Tahoma"/>
          <w:spacing w:val="0"/>
        </w:rPr>
      </w:pPr>
      <w:bookmarkStart w:id="105" w:name="_Toc161933167"/>
      <w:r w:rsidRPr="00305AEB">
        <w:rPr>
          <w:rFonts w:cs="Tahoma"/>
          <w:spacing w:val="0"/>
        </w:rPr>
        <w:t>5.1 Criteri di territorialità</w:t>
      </w:r>
      <w:bookmarkEnd w:id="105"/>
      <w:r w:rsidRPr="00305AEB">
        <w:rPr>
          <w:rFonts w:cs="Tahoma"/>
          <w:spacing w:val="0"/>
        </w:rPr>
        <w:t xml:space="preserve"> </w:t>
      </w:r>
    </w:p>
    <w:p w14:paraId="53546799" w14:textId="77777777" w:rsidR="008D15F0" w:rsidRPr="00305AEB" w:rsidRDefault="008D15F0" w:rsidP="00186726">
      <w:pPr>
        <w:tabs>
          <w:tab w:val="left" w:pos="7371"/>
          <w:tab w:val="right" w:pos="8080"/>
        </w:tabs>
        <w:rPr>
          <w:rFonts w:cs="Tahoma"/>
          <w:szCs w:val="20"/>
        </w:rPr>
      </w:pPr>
      <w:r w:rsidRPr="00305AEB">
        <w:rPr>
          <w:rFonts w:cs="Tahoma"/>
          <w:szCs w:val="20"/>
        </w:rPr>
        <w:t>In forza del principio della tassazione dei redditi ovunque prodotti di cui all’art. 3 del TUIR, i dividendi percepiti da soggetti residenti in Italia risultano imponibili a prescindere dallo Stato di residenza della società erogante.</w:t>
      </w:r>
    </w:p>
    <w:p w14:paraId="68173F4E" w14:textId="77777777" w:rsidR="008D15F0" w:rsidRPr="00305AEB" w:rsidRDefault="008D15F0" w:rsidP="00186726">
      <w:pPr>
        <w:tabs>
          <w:tab w:val="left" w:pos="7371"/>
          <w:tab w:val="right" w:pos="8080"/>
        </w:tabs>
        <w:rPr>
          <w:rFonts w:cs="Tahoma"/>
          <w:szCs w:val="20"/>
        </w:rPr>
      </w:pPr>
      <w:r w:rsidRPr="00305AEB">
        <w:rPr>
          <w:rFonts w:cs="Tahoma"/>
          <w:szCs w:val="20"/>
        </w:rPr>
        <w:t>Tale aspetto deve essere, tuttavia, valutato in relazione alle modalità con cui le Convenzioni contro le doppie imposizioni ripartiscono l'imposizione dei dividendi tra Stati contraenti, anche al fine di verificare l'insorgenza di fenomeni di doppia imposizione.</w:t>
      </w:r>
    </w:p>
    <w:p w14:paraId="5EE494A9" w14:textId="77777777" w:rsidR="008D15F0" w:rsidRPr="00305AEB" w:rsidRDefault="008D15F0" w:rsidP="00186726">
      <w:pPr>
        <w:tabs>
          <w:tab w:val="left" w:pos="7371"/>
          <w:tab w:val="right" w:pos="8080"/>
        </w:tabs>
        <w:rPr>
          <w:rFonts w:cs="Tahoma"/>
          <w:szCs w:val="20"/>
        </w:rPr>
      </w:pPr>
      <w:r w:rsidRPr="00305AEB">
        <w:rPr>
          <w:rFonts w:cs="Tahoma"/>
          <w:szCs w:val="20"/>
        </w:rPr>
        <w:t>Con riferimento agli utili distribuiti all'interno di gruppi d'imprese residenti nell'Unione europea, inoltre, è possibile beneficiare, in presenza di determinati requisiti, dell'esenzione della ritenuta "in uscita" prevista dalla direttiva 2011/16/UE.</w:t>
      </w:r>
    </w:p>
    <w:p w14:paraId="022804DE" w14:textId="77777777" w:rsidR="0069364A" w:rsidRPr="00305AEB" w:rsidRDefault="0069364A" w:rsidP="00186726">
      <w:pPr>
        <w:tabs>
          <w:tab w:val="left" w:pos="7371"/>
          <w:tab w:val="right" w:pos="8080"/>
        </w:tabs>
        <w:rPr>
          <w:rFonts w:cs="Tahoma"/>
          <w:szCs w:val="20"/>
        </w:rPr>
      </w:pPr>
    </w:p>
    <w:p w14:paraId="544F7A96" w14:textId="77777777" w:rsidR="008D15F0" w:rsidRPr="00305AEB" w:rsidRDefault="008D15F0" w:rsidP="00186726">
      <w:pPr>
        <w:pStyle w:val="Sottotitolo"/>
        <w:rPr>
          <w:rFonts w:cs="Tahoma"/>
          <w:spacing w:val="0"/>
        </w:rPr>
      </w:pPr>
      <w:bookmarkStart w:id="106" w:name="_Toc161933168"/>
      <w:r w:rsidRPr="00305AEB">
        <w:rPr>
          <w:rFonts w:cs="Tahoma"/>
          <w:spacing w:val="0"/>
        </w:rPr>
        <w:t>5.2 Convenzioni contro le doppie imposizioni</w:t>
      </w:r>
      <w:bookmarkEnd w:id="106"/>
      <w:r w:rsidRPr="00305AEB">
        <w:rPr>
          <w:rFonts w:cs="Tahoma"/>
          <w:spacing w:val="0"/>
        </w:rPr>
        <w:t xml:space="preserve"> </w:t>
      </w:r>
    </w:p>
    <w:p w14:paraId="081EA058" w14:textId="77777777" w:rsidR="008D15F0" w:rsidRPr="00305AEB" w:rsidRDefault="008D15F0" w:rsidP="00186726">
      <w:pPr>
        <w:tabs>
          <w:tab w:val="left" w:pos="7371"/>
          <w:tab w:val="right" w:pos="8080"/>
        </w:tabs>
        <w:rPr>
          <w:rFonts w:cs="Tahoma"/>
          <w:szCs w:val="20"/>
        </w:rPr>
      </w:pPr>
      <w:r w:rsidRPr="00305AEB">
        <w:rPr>
          <w:rFonts w:cs="Tahoma"/>
          <w:szCs w:val="20"/>
        </w:rPr>
        <w:t>L’art. 10 delle Convenzioni internazionali contro le doppie imposizioni stipulate dall’Italia (conforme allo schema generale del modello OCSE) prevede un’attenuazione del prelievo alla fonte sui dividendi erogati da un soggetto residente in uno Stato contraente e percepiti da un soggetto residente nell’altro Stato che ne sia il beneficiario effettivo (normalmente le aliquote applicabili vanno dal 10% al 15%).</w:t>
      </w:r>
    </w:p>
    <w:p w14:paraId="19F9FDE7" w14:textId="77777777" w:rsidR="008D15F0" w:rsidRPr="00305AEB" w:rsidRDefault="008D15F0" w:rsidP="00186726">
      <w:pPr>
        <w:tabs>
          <w:tab w:val="left" w:pos="7371"/>
          <w:tab w:val="right" w:pos="8080"/>
        </w:tabs>
        <w:rPr>
          <w:rFonts w:cs="Tahoma"/>
          <w:szCs w:val="20"/>
        </w:rPr>
      </w:pPr>
      <w:r w:rsidRPr="00305AEB">
        <w:rPr>
          <w:rFonts w:cs="Tahoma"/>
          <w:szCs w:val="20"/>
        </w:rPr>
        <w:t>In sostanza, quindi, non viene stabilito il principio della tassazione dei dividendi, in via esclusiva, né nello Stato di residenza del beneficiario né nello Stato nel quale è residente la società che eroga i dividendi.</w:t>
      </w:r>
    </w:p>
    <w:p w14:paraId="0496EB22" w14:textId="77777777" w:rsidR="00E22CE6" w:rsidRDefault="00E22CE6">
      <w:pPr>
        <w:spacing w:after="0" w:line="240" w:lineRule="auto"/>
        <w:jc w:val="left"/>
        <w:rPr>
          <w:rFonts w:cs="Tahoma"/>
          <w:b/>
          <w:iCs/>
          <w:color w:val="404040"/>
          <w:sz w:val="22"/>
          <w:u w:val="single"/>
        </w:rPr>
      </w:pPr>
      <w:r>
        <w:rPr>
          <w:rFonts w:cs="Tahoma"/>
        </w:rPr>
        <w:br w:type="page"/>
      </w:r>
    </w:p>
    <w:p w14:paraId="3B5FCF79" w14:textId="179D3214" w:rsidR="008D15F0" w:rsidRPr="00305AEB" w:rsidRDefault="008D15F0" w:rsidP="00186726">
      <w:pPr>
        <w:pStyle w:val="Sottotitolo"/>
        <w:rPr>
          <w:rFonts w:cs="Tahoma"/>
          <w:spacing w:val="0"/>
        </w:rPr>
      </w:pPr>
      <w:bookmarkStart w:id="107" w:name="_Toc161933169"/>
      <w:r w:rsidRPr="00305AEB">
        <w:rPr>
          <w:rFonts w:cs="Tahoma"/>
          <w:spacing w:val="0"/>
        </w:rPr>
        <w:lastRenderedPageBreak/>
        <w:t>5.3 Dividendi esteri derivanti da partecipazioni non black list</w:t>
      </w:r>
      <w:bookmarkEnd w:id="107"/>
    </w:p>
    <w:p w14:paraId="65A72DD2" w14:textId="77777777" w:rsidR="008D15F0" w:rsidRPr="00305AEB" w:rsidRDefault="008D15F0" w:rsidP="00186726">
      <w:pPr>
        <w:tabs>
          <w:tab w:val="left" w:pos="7371"/>
          <w:tab w:val="right" w:pos="8080"/>
        </w:tabs>
        <w:rPr>
          <w:rFonts w:cs="Tahoma"/>
          <w:szCs w:val="20"/>
        </w:rPr>
      </w:pPr>
      <w:r w:rsidRPr="00305AEB">
        <w:rPr>
          <w:rFonts w:cs="Tahoma"/>
          <w:szCs w:val="20"/>
        </w:rPr>
        <w:t>Per i dividendi su partecipazioni non black list percepiti dall'1.1.2018, si applica la ritenuta a titolo di imposta del 26%, indipendentemente dall'entità della partecipazione detenuta (partecipazioni qualificate e non qualificate).</w:t>
      </w:r>
    </w:p>
    <w:p w14:paraId="5995BB76" w14:textId="77777777" w:rsidR="008D15F0" w:rsidRPr="00305AEB" w:rsidRDefault="008D15F0" w:rsidP="00186726">
      <w:pPr>
        <w:tabs>
          <w:tab w:val="left" w:pos="7371"/>
          <w:tab w:val="right" w:pos="8080"/>
        </w:tabs>
        <w:rPr>
          <w:rFonts w:cs="Tahoma"/>
          <w:szCs w:val="20"/>
        </w:rPr>
      </w:pPr>
      <w:r w:rsidRPr="00305AEB">
        <w:rPr>
          <w:rFonts w:cs="Tahoma"/>
          <w:szCs w:val="20"/>
        </w:rPr>
        <w:t>Tuttavia, per le distribuzioni che risultano deliberate fino al 31.12.2022 e che riguardano utili su partecipazioni qualificate che si sono formati fino all'esercizio in corso al 31.12.2017, continuano ad applicarsi le precedenti percentuali di imponibilità. Pertanto, tali dividendi concorrono al reddito IRPEF:</w:t>
      </w:r>
    </w:p>
    <w:p w14:paraId="60458677" w14:textId="77777777" w:rsidR="008D15F0" w:rsidRPr="00305AEB" w:rsidRDefault="008D15F0" w:rsidP="00186726">
      <w:pPr>
        <w:pStyle w:val="Paragrafoelenco"/>
        <w:numPr>
          <w:ilvl w:val="0"/>
          <w:numId w:val="31"/>
        </w:numPr>
        <w:tabs>
          <w:tab w:val="left" w:pos="7371"/>
          <w:tab w:val="right" w:pos="8080"/>
        </w:tabs>
        <w:rPr>
          <w:rFonts w:cs="Tahoma"/>
          <w:szCs w:val="20"/>
        </w:rPr>
      </w:pPr>
      <w:r w:rsidRPr="00305AEB">
        <w:rPr>
          <w:rFonts w:cs="Tahoma"/>
          <w:szCs w:val="20"/>
        </w:rPr>
        <w:t>per il 40% del dividendo se gli utili sono stati prodotti sino all'esercizio in corso al 31.12.2007;</w:t>
      </w:r>
    </w:p>
    <w:p w14:paraId="664472F2" w14:textId="77777777" w:rsidR="008D15F0" w:rsidRPr="00305AEB" w:rsidRDefault="008D15F0" w:rsidP="00186726">
      <w:pPr>
        <w:pStyle w:val="Paragrafoelenco"/>
        <w:numPr>
          <w:ilvl w:val="0"/>
          <w:numId w:val="31"/>
        </w:numPr>
        <w:tabs>
          <w:tab w:val="left" w:pos="7371"/>
          <w:tab w:val="right" w:pos="8080"/>
        </w:tabs>
        <w:rPr>
          <w:rFonts w:cs="Tahoma"/>
          <w:szCs w:val="20"/>
        </w:rPr>
      </w:pPr>
      <w:r w:rsidRPr="00305AEB">
        <w:rPr>
          <w:rFonts w:cs="Tahoma"/>
          <w:szCs w:val="20"/>
        </w:rPr>
        <w:t>per il 49,72% del dividendo se gli utili si sono formati a partire dall'esercizio successivo a quello in corso al 31.12.2007 e sino all'esercizio in corso al 31.12.2016;</w:t>
      </w:r>
    </w:p>
    <w:p w14:paraId="6AFAA772" w14:textId="77777777" w:rsidR="008D15F0" w:rsidRPr="00305AEB" w:rsidRDefault="008D15F0" w:rsidP="00186726">
      <w:pPr>
        <w:pStyle w:val="Paragrafoelenco"/>
        <w:numPr>
          <w:ilvl w:val="0"/>
          <w:numId w:val="31"/>
        </w:numPr>
        <w:tabs>
          <w:tab w:val="left" w:pos="7371"/>
          <w:tab w:val="right" w:pos="8080"/>
        </w:tabs>
        <w:rPr>
          <w:rFonts w:cs="Tahoma"/>
          <w:szCs w:val="20"/>
        </w:rPr>
      </w:pPr>
      <w:r w:rsidRPr="00305AEB">
        <w:rPr>
          <w:rFonts w:cs="Tahoma"/>
          <w:szCs w:val="20"/>
        </w:rPr>
        <w:t>per il 58,14% a partire dagli utili formatisi dall'esercizio successivo a quello in corso al 31.12.2016 e sino all'esercizio in corso al 31.12.2017.</w:t>
      </w:r>
    </w:p>
    <w:p w14:paraId="2CF6B215" w14:textId="77777777" w:rsidR="0069364A" w:rsidRPr="00305AEB" w:rsidRDefault="0069364A" w:rsidP="00186726">
      <w:pPr>
        <w:pStyle w:val="NUOVOSOTTOPARAGRAFO"/>
        <w:rPr>
          <w:rFonts w:cs="Tahoma"/>
        </w:rPr>
      </w:pPr>
    </w:p>
    <w:p w14:paraId="0F1A983D" w14:textId="77777777" w:rsidR="008D15F0" w:rsidRPr="00305AEB" w:rsidRDefault="008D15F0" w:rsidP="00186726">
      <w:pPr>
        <w:pStyle w:val="NUOVOSOTTOPARAGRAFO"/>
        <w:rPr>
          <w:rFonts w:cs="Tahoma"/>
        </w:rPr>
      </w:pPr>
      <w:bookmarkStart w:id="108" w:name="_Toc161933170"/>
      <w:r w:rsidRPr="00305AEB">
        <w:rPr>
          <w:rFonts w:cs="Tahoma"/>
        </w:rPr>
        <w:t>5.3.1 Principio del netto frontiera</w:t>
      </w:r>
      <w:bookmarkEnd w:id="108"/>
      <w:r w:rsidRPr="00305AEB">
        <w:rPr>
          <w:rFonts w:cs="Tahoma"/>
        </w:rPr>
        <w:t xml:space="preserve"> </w:t>
      </w:r>
    </w:p>
    <w:p w14:paraId="0A4F1004" w14:textId="77777777" w:rsidR="008D15F0" w:rsidRPr="00305AEB" w:rsidRDefault="008D15F0" w:rsidP="00186726">
      <w:pPr>
        <w:tabs>
          <w:tab w:val="left" w:pos="7371"/>
          <w:tab w:val="right" w:pos="8080"/>
        </w:tabs>
        <w:rPr>
          <w:rFonts w:cs="Tahoma"/>
          <w:szCs w:val="20"/>
        </w:rPr>
      </w:pPr>
      <w:r w:rsidRPr="00305AEB">
        <w:rPr>
          <w:rFonts w:cs="Tahoma"/>
          <w:szCs w:val="20"/>
        </w:rPr>
        <w:t>La R.M. n. 61/E del 2019 considera reviviscente la ritenuta a titolo di acconto ai sensi del previgente comma 4 dell'art. 27 del D.P.R. n. 600/73 (ora abrogato), sul c.d. "netto frontiera", per i dividendi su partecipazioni qualificate che derivano da soggetti esteri e che applicano il regime transitorio.</w:t>
      </w:r>
    </w:p>
    <w:p w14:paraId="1626113E" w14:textId="77777777" w:rsidR="008D15F0" w:rsidRPr="00305AEB" w:rsidRDefault="008D15F0" w:rsidP="00186726">
      <w:pPr>
        <w:tabs>
          <w:tab w:val="left" w:pos="7371"/>
          <w:tab w:val="right" w:pos="8080"/>
        </w:tabs>
        <w:rPr>
          <w:rFonts w:cs="Tahoma"/>
          <w:szCs w:val="20"/>
        </w:rPr>
      </w:pPr>
      <w:r w:rsidRPr="00305AEB">
        <w:rPr>
          <w:rFonts w:cs="Tahoma"/>
          <w:szCs w:val="20"/>
        </w:rPr>
        <w:t>In sostanza, sui dividendi di fonte estera, se percepiti tramite un sostituto d'imposta o un intermediario, la ritenuta deve essere applicate sul c.d. "netto frontiera", come previsto dal comma 4-bis dell'art. 27 del D.P.R. n. 600/73 secondo cui "le ritenute del comma 4 sono operate al netto delle ritenute applicate dallo Stato estero".</w:t>
      </w:r>
    </w:p>
    <w:p w14:paraId="4D703C4F" w14:textId="77777777" w:rsidR="008D15F0" w:rsidRPr="00305AEB" w:rsidRDefault="008D15F0" w:rsidP="00186726">
      <w:pPr>
        <w:tabs>
          <w:tab w:val="left" w:pos="7371"/>
          <w:tab w:val="right" w:pos="8080"/>
        </w:tabs>
        <w:rPr>
          <w:rFonts w:cs="Tahoma"/>
          <w:szCs w:val="20"/>
        </w:rPr>
      </w:pPr>
      <w:r w:rsidRPr="00305AEB">
        <w:rPr>
          <w:rFonts w:cs="Tahoma"/>
          <w:szCs w:val="20"/>
        </w:rPr>
        <w:t>In sostanza, l'intermediario deve:</w:t>
      </w:r>
    </w:p>
    <w:p w14:paraId="65C672CC" w14:textId="77777777" w:rsidR="008D15F0" w:rsidRPr="00305AEB" w:rsidRDefault="008D15F0" w:rsidP="00186726">
      <w:pPr>
        <w:pStyle w:val="Paragrafoelenco"/>
        <w:numPr>
          <w:ilvl w:val="0"/>
          <w:numId w:val="32"/>
        </w:numPr>
        <w:tabs>
          <w:tab w:val="left" w:pos="7371"/>
          <w:tab w:val="right" w:pos="8080"/>
        </w:tabs>
        <w:rPr>
          <w:rFonts w:cs="Tahoma"/>
          <w:szCs w:val="20"/>
        </w:rPr>
      </w:pPr>
      <w:r w:rsidRPr="00305AEB">
        <w:rPr>
          <w:rFonts w:cs="Tahoma"/>
          <w:szCs w:val="20"/>
        </w:rPr>
        <w:t>accertare che il dividendo non sia deducibile dal reddito dell'emittente (art. 44, comma 2, lett. a) del TUIR);</w:t>
      </w:r>
    </w:p>
    <w:p w14:paraId="092EDC9F" w14:textId="77777777" w:rsidR="008D15F0" w:rsidRPr="00305AEB" w:rsidRDefault="008D15F0" w:rsidP="00186726">
      <w:pPr>
        <w:pStyle w:val="Paragrafoelenco"/>
        <w:numPr>
          <w:ilvl w:val="0"/>
          <w:numId w:val="32"/>
        </w:numPr>
        <w:tabs>
          <w:tab w:val="left" w:pos="7371"/>
          <w:tab w:val="right" w:pos="8080"/>
        </w:tabs>
        <w:rPr>
          <w:rFonts w:cs="Tahoma"/>
          <w:szCs w:val="20"/>
        </w:rPr>
      </w:pPr>
      <w:r w:rsidRPr="00305AEB">
        <w:rPr>
          <w:rFonts w:cs="Tahoma"/>
          <w:szCs w:val="20"/>
        </w:rPr>
        <w:t>verificare che l'importo percepito non sia relativo a riserve di capitale;</w:t>
      </w:r>
    </w:p>
    <w:p w14:paraId="65D27170" w14:textId="77777777" w:rsidR="008D15F0" w:rsidRPr="00305AEB" w:rsidRDefault="008D15F0" w:rsidP="00186726">
      <w:pPr>
        <w:pStyle w:val="Paragrafoelenco"/>
        <w:numPr>
          <w:ilvl w:val="0"/>
          <w:numId w:val="32"/>
        </w:numPr>
        <w:tabs>
          <w:tab w:val="left" w:pos="7371"/>
          <w:tab w:val="right" w:pos="8080"/>
        </w:tabs>
        <w:rPr>
          <w:rFonts w:cs="Tahoma"/>
          <w:szCs w:val="20"/>
        </w:rPr>
      </w:pPr>
      <w:r w:rsidRPr="00305AEB">
        <w:rPr>
          <w:rFonts w:cs="Tahoma"/>
          <w:szCs w:val="20"/>
        </w:rPr>
        <w:t>accertare che non sia proveniente da un soggetto a fiscalità privilegiata. In questo caso, occorre verificare l'applicazione dell'esimente secondo cui dalla partecipazione non si verifica l'effetto di localizzare i redditi in paesi a fiscalità privilegiata.</w:t>
      </w:r>
    </w:p>
    <w:p w14:paraId="676271FF" w14:textId="1832B2D0" w:rsidR="007630E9" w:rsidRPr="005923A1" w:rsidRDefault="008D15F0" w:rsidP="005923A1">
      <w:pPr>
        <w:tabs>
          <w:tab w:val="left" w:pos="7371"/>
          <w:tab w:val="right" w:pos="8080"/>
        </w:tabs>
        <w:rPr>
          <w:rFonts w:cs="Tahoma"/>
          <w:szCs w:val="20"/>
        </w:rPr>
      </w:pPr>
      <w:r w:rsidRPr="00305AEB">
        <w:rPr>
          <w:rFonts w:cs="Tahoma"/>
          <w:szCs w:val="20"/>
        </w:rPr>
        <w:t>Pertanto, le ritenute operate a titolo d'imposta o d'acconto sul dividendo di fonte estera devono essere operate dall'intermediario residente al netto delle imposte applicate nello Stato estero dove risiede la società erogante. </w:t>
      </w:r>
      <w:r w:rsidR="007630E9" w:rsidRPr="00305AEB">
        <w:rPr>
          <w:rFonts w:cs="Tahoma"/>
        </w:rPr>
        <w:br w:type="page"/>
      </w:r>
    </w:p>
    <w:p w14:paraId="45709EED" w14:textId="6B34E5D8" w:rsidR="008D15F0" w:rsidRPr="00305AEB" w:rsidRDefault="008D15F0" w:rsidP="00186726">
      <w:pPr>
        <w:pStyle w:val="NUOVOSOTTOPARAGRAFO"/>
        <w:rPr>
          <w:rFonts w:cs="Tahoma"/>
        </w:rPr>
      </w:pPr>
      <w:bookmarkStart w:id="109" w:name="_Toc161933171"/>
      <w:r w:rsidRPr="00305AEB">
        <w:rPr>
          <w:rFonts w:cs="Tahoma"/>
        </w:rPr>
        <w:lastRenderedPageBreak/>
        <w:t>5.3.2 Percezione diretta dei dividendi di fonte estera</w:t>
      </w:r>
      <w:bookmarkEnd w:id="109"/>
    </w:p>
    <w:p w14:paraId="0C8DBDA5" w14:textId="77777777" w:rsidR="008D15F0" w:rsidRPr="00305AEB" w:rsidRDefault="008D15F0" w:rsidP="00186726">
      <w:pPr>
        <w:tabs>
          <w:tab w:val="left" w:pos="7371"/>
          <w:tab w:val="right" w:pos="8080"/>
        </w:tabs>
        <w:rPr>
          <w:rFonts w:cs="Tahoma"/>
          <w:szCs w:val="20"/>
        </w:rPr>
      </w:pPr>
      <w:r w:rsidRPr="00305AEB">
        <w:rPr>
          <w:rFonts w:cs="Tahoma"/>
          <w:szCs w:val="20"/>
        </w:rPr>
        <w:t>Quando i dividendi di fonte estera soggetti a ritenuta a titolo di imposta sono incassati senza l'intervento di un intermediario residente, si applica l’art. 18, comma 1 del TUIR secondo cui il contribuente deve applicare un'imposta sostitutiva delle imposte sui redditi pari al 26% dell'ammontare percepito.</w:t>
      </w:r>
    </w:p>
    <w:p w14:paraId="34B12AB9" w14:textId="77777777" w:rsidR="0069364A" w:rsidRPr="00305AEB" w:rsidRDefault="0069364A" w:rsidP="00186726">
      <w:pPr>
        <w:pStyle w:val="Sottotitolo"/>
        <w:rPr>
          <w:rFonts w:cs="Tahoma"/>
          <w:spacing w:val="0"/>
        </w:rPr>
      </w:pPr>
    </w:p>
    <w:p w14:paraId="0BC0D580" w14:textId="77777777" w:rsidR="008D15F0" w:rsidRPr="00305AEB" w:rsidRDefault="008D15F0" w:rsidP="00186726">
      <w:pPr>
        <w:pStyle w:val="Sottotitolo"/>
        <w:rPr>
          <w:rFonts w:cs="Tahoma"/>
          <w:spacing w:val="0"/>
        </w:rPr>
      </w:pPr>
      <w:bookmarkStart w:id="110" w:name="_Toc161933172"/>
      <w:r w:rsidRPr="00305AEB">
        <w:rPr>
          <w:rFonts w:cs="Tahoma"/>
          <w:spacing w:val="0"/>
        </w:rPr>
        <w:t>5.4 Credito per le imposte pagate all’estero</w:t>
      </w:r>
      <w:bookmarkEnd w:id="110"/>
    </w:p>
    <w:p w14:paraId="7FCB3E40" w14:textId="77777777" w:rsidR="0069364A" w:rsidRPr="00305AEB" w:rsidRDefault="008D15F0" w:rsidP="00186726">
      <w:pPr>
        <w:tabs>
          <w:tab w:val="left" w:pos="7371"/>
          <w:tab w:val="right" w:pos="8080"/>
        </w:tabs>
        <w:rPr>
          <w:rFonts w:cs="Tahoma"/>
          <w:szCs w:val="20"/>
        </w:rPr>
      </w:pPr>
      <w:r w:rsidRPr="00305AEB">
        <w:rPr>
          <w:rFonts w:cs="Tahoma"/>
          <w:szCs w:val="20"/>
        </w:rPr>
        <w:t>Se alla formazione del reddito complessivo del socio concorrono i redditi prodotti all'estero, si riconosce un credito per le imposte pagate all’estero, ai sensi dell'art. 165, comma 1 del TUIR.</w:t>
      </w:r>
    </w:p>
    <w:p w14:paraId="33202AA4" w14:textId="77777777" w:rsidR="008D15F0" w:rsidRPr="00305AEB" w:rsidRDefault="008D15F0" w:rsidP="00186726">
      <w:pPr>
        <w:tabs>
          <w:tab w:val="left" w:pos="7371"/>
          <w:tab w:val="right" w:pos="8080"/>
        </w:tabs>
        <w:rPr>
          <w:rFonts w:cs="Tahoma"/>
          <w:szCs w:val="20"/>
        </w:rPr>
      </w:pPr>
      <w:r w:rsidRPr="00305AEB">
        <w:rPr>
          <w:rFonts w:cs="Tahoma"/>
          <w:szCs w:val="20"/>
        </w:rPr>
        <w:t>Tuttavia, l’art. 165, comma 10 del TUIR prevede che "nel caso in cui il reddito prodotto all'estero concorra parzialmente alla formazione del reddito complessivo, anche l'imposta estera va ridotta in misura corrispondente".</w:t>
      </w:r>
    </w:p>
    <w:p w14:paraId="7410A620" w14:textId="77777777" w:rsidR="008D15F0" w:rsidRPr="00305AEB" w:rsidRDefault="008D15F0" w:rsidP="00186726">
      <w:pPr>
        <w:tabs>
          <w:tab w:val="left" w:pos="7371"/>
          <w:tab w:val="right" w:pos="8080"/>
        </w:tabs>
        <w:rPr>
          <w:rFonts w:cs="Tahoma"/>
          <w:szCs w:val="20"/>
        </w:rPr>
      </w:pPr>
      <w:r w:rsidRPr="00305AEB">
        <w:rPr>
          <w:rFonts w:cs="Tahoma"/>
          <w:szCs w:val="20"/>
        </w:rPr>
        <w:t>Pertanto, per i dividendi prodotti ante 2018 e derivanti da una partecipazione qualificata, erogati da una società estera, la detrazione dell'eventuale imposta estera versata sarà riconosciuta per un ammontare pari al 58,14%, 49,72% o al 40% del prelievo applicato nello Stato dove risiede la società partecipata. </w:t>
      </w:r>
    </w:p>
    <w:p w14:paraId="3DC1FD94" w14:textId="77777777" w:rsidR="008D15F0" w:rsidRPr="00305AEB" w:rsidRDefault="008D15F0" w:rsidP="00186726">
      <w:pPr>
        <w:tabs>
          <w:tab w:val="left" w:pos="7371"/>
          <w:tab w:val="right" w:pos="8080"/>
        </w:tabs>
        <w:rPr>
          <w:rFonts w:cs="Tahoma"/>
          <w:szCs w:val="20"/>
        </w:rPr>
      </w:pPr>
      <w:r w:rsidRPr="00305AEB">
        <w:rPr>
          <w:rFonts w:cs="Tahoma"/>
          <w:szCs w:val="20"/>
        </w:rPr>
        <w:t>Qualora, invece, la società risieda in uno Stato o territorio a fiscalità privilegiata, il credito dovrebbe essere riconosciuto in misura piena, dato che i dividendi ottenuti concorrono integralmente alla formazione del reddito complessivo.</w:t>
      </w:r>
    </w:p>
    <w:p w14:paraId="5629FC98" w14:textId="77777777" w:rsidR="008D15F0" w:rsidRPr="00305AEB" w:rsidRDefault="008D15F0" w:rsidP="00186726">
      <w:pPr>
        <w:tabs>
          <w:tab w:val="left" w:pos="7371"/>
          <w:tab w:val="right" w:pos="8080"/>
        </w:tabs>
        <w:rPr>
          <w:rFonts w:cs="Tahoma"/>
          <w:szCs w:val="20"/>
        </w:rPr>
      </w:pPr>
      <w:r w:rsidRPr="00305AEB">
        <w:rPr>
          <w:rFonts w:cs="Tahoma"/>
          <w:szCs w:val="20"/>
        </w:rPr>
        <w:t>Resta fermo che il socio non può vedersi riconosciuto il credito per le eventuali imposte versate all'estero, in tutti i casi in cui i dividendi percepiti non concorrono alla formazione del reddito complessivo IRPEF.</w:t>
      </w:r>
    </w:p>
    <w:p w14:paraId="19ABE8CE" w14:textId="34DA2B93" w:rsidR="00FF5B7E" w:rsidRPr="00305AEB" w:rsidRDefault="008D15F0" w:rsidP="00186726">
      <w:pPr>
        <w:tabs>
          <w:tab w:val="left" w:pos="7371"/>
          <w:tab w:val="right" w:pos="8080"/>
        </w:tabs>
        <w:rPr>
          <w:rFonts w:cs="Tahoma"/>
          <w:szCs w:val="20"/>
        </w:rPr>
      </w:pPr>
      <w:r w:rsidRPr="00305AEB">
        <w:rPr>
          <w:rFonts w:cs="Tahoma"/>
          <w:szCs w:val="20"/>
        </w:rPr>
        <w:t>Infine, si segnala che come viene specificato dall’Appendice al modello REDDITI PF, poi, se lo Stato estero è legato all’Italia da una Convenzione contro le doppie imposizioni e il sostituto d’imposta estero ha prelevato la ritenuta prevista dal proprio ordinamento in misura eccedente quella prevista dalla Convenzione, il percipiente ha titolo a scomputare dall’imposta italiana la sola imposta sino a concorrenza dell’aliquota convenzionale (ciò in quanto l’eccedenza può essere richiesta a rimborso nello Stato estero e non ha, quindi, il carattere della “non ripetibilità”).</w:t>
      </w:r>
    </w:p>
    <w:p w14:paraId="6A0C1414" w14:textId="77777777" w:rsidR="0069364A" w:rsidRPr="00305AEB" w:rsidRDefault="0069364A" w:rsidP="00186726">
      <w:pPr>
        <w:pStyle w:val="Sottotitolo"/>
        <w:rPr>
          <w:rFonts w:cs="Tahoma"/>
          <w:spacing w:val="0"/>
        </w:rPr>
      </w:pPr>
    </w:p>
    <w:p w14:paraId="6C6B2711" w14:textId="77777777" w:rsidR="008D15F0" w:rsidRPr="00305AEB" w:rsidRDefault="008D15F0" w:rsidP="00186726">
      <w:pPr>
        <w:pStyle w:val="Sottotitolo"/>
        <w:rPr>
          <w:rFonts w:cs="Tahoma"/>
          <w:spacing w:val="0"/>
        </w:rPr>
      </w:pPr>
      <w:bookmarkStart w:id="111" w:name="_Toc161933173"/>
      <w:r w:rsidRPr="00305AEB">
        <w:rPr>
          <w:rFonts w:cs="Tahoma"/>
          <w:spacing w:val="0"/>
        </w:rPr>
        <w:t>5.5 Dividendi esteri derivanti da partecipazioni black list</w:t>
      </w:r>
      <w:bookmarkEnd w:id="111"/>
    </w:p>
    <w:p w14:paraId="65C6B547" w14:textId="77777777" w:rsidR="008D15F0" w:rsidRPr="00305AEB" w:rsidRDefault="008D15F0" w:rsidP="00186726">
      <w:pPr>
        <w:tabs>
          <w:tab w:val="left" w:pos="7371"/>
          <w:tab w:val="right" w:pos="8080"/>
        </w:tabs>
        <w:rPr>
          <w:rFonts w:cs="Tahoma"/>
          <w:szCs w:val="20"/>
        </w:rPr>
      </w:pPr>
      <w:r w:rsidRPr="00305AEB">
        <w:rPr>
          <w:rFonts w:cs="Tahoma"/>
          <w:szCs w:val="20"/>
        </w:rPr>
        <w:t>I dividendi provenienti da soggetti residenti o localizzati in Stati a fiscalità privilegiata sono integralmente imponibili per il soggetto percipiente (imprenditore o non imprenditore). Ciò a meno che:</w:t>
      </w:r>
    </w:p>
    <w:p w14:paraId="1325599C" w14:textId="77777777" w:rsidR="008D15F0" w:rsidRPr="00305AEB" w:rsidRDefault="008D15F0" w:rsidP="00186726">
      <w:pPr>
        <w:pStyle w:val="Paragrafoelenco"/>
        <w:numPr>
          <w:ilvl w:val="0"/>
          <w:numId w:val="33"/>
        </w:numPr>
        <w:tabs>
          <w:tab w:val="left" w:pos="7371"/>
          <w:tab w:val="right" w:pos="8080"/>
        </w:tabs>
        <w:rPr>
          <w:rFonts w:cs="Tahoma"/>
          <w:szCs w:val="20"/>
        </w:rPr>
      </w:pPr>
      <w:r w:rsidRPr="00305AEB">
        <w:rPr>
          <w:rFonts w:cs="Tahoma"/>
          <w:szCs w:val="20"/>
        </w:rPr>
        <w:lastRenderedPageBreak/>
        <w:t xml:space="preserve">tali dividendi siano già stati imputati al socio, secondo le disposizioni delle </w:t>
      </w:r>
      <w:proofErr w:type="spellStart"/>
      <w:r w:rsidRPr="00305AEB">
        <w:rPr>
          <w:rFonts w:cs="Tahoma"/>
          <w:szCs w:val="20"/>
        </w:rPr>
        <w:t>Controlled</w:t>
      </w:r>
      <w:proofErr w:type="spellEnd"/>
      <w:r w:rsidRPr="00305AEB">
        <w:rPr>
          <w:rFonts w:cs="Tahoma"/>
          <w:szCs w:val="20"/>
        </w:rPr>
        <w:t xml:space="preserve"> Foreign Companies (c.d. "CFC" ex art. 167 del TUIR);</w:t>
      </w:r>
    </w:p>
    <w:p w14:paraId="1AEB6FF8" w14:textId="77777777" w:rsidR="008D15F0" w:rsidRPr="00305AEB" w:rsidRDefault="008D15F0" w:rsidP="00186726">
      <w:pPr>
        <w:pStyle w:val="Paragrafoelenco"/>
        <w:numPr>
          <w:ilvl w:val="0"/>
          <w:numId w:val="33"/>
        </w:numPr>
        <w:tabs>
          <w:tab w:val="left" w:pos="7371"/>
          <w:tab w:val="right" w:pos="8080"/>
        </w:tabs>
        <w:rPr>
          <w:rFonts w:cs="Tahoma"/>
          <w:szCs w:val="20"/>
        </w:rPr>
      </w:pPr>
      <w:r w:rsidRPr="00305AEB">
        <w:rPr>
          <w:rFonts w:cs="Tahoma"/>
          <w:szCs w:val="20"/>
        </w:rPr>
        <w:t>ovvero, sia stata data dimostrazione che dalle partecipazioni non è stato conseguito, sin dall'inizio del periodo di possesso, l'effetto di localizzare i redditi in Stati o territori in cui sono sottoposti a regimi fiscali privilegiati (c.d. "seconda esimente" del regime dei dividendi).</w:t>
      </w:r>
    </w:p>
    <w:p w14:paraId="71047E4D" w14:textId="3A5F9EB0" w:rsidR="00E653EA" w:rsidRPr="00305AEB" w:rsidRDefault="00E653EA" w:rsidP="00186726">
      <w:pPr>
        <w:tabs>
          <w:tab w:val="left" w:pos="7371"/>
          <w:tab w:val="right" w:pos="8080"/>
        </w:tabs>
        <w:rPr>
          <w:rFonts w:cs="Tahoma"/>
          <w:szCs w:val="20"/>
        </w:rPr>
      </w:pPr>
      <w:r w:rsidRPr="00305AEB">
        <w:rPr>
          <w:rFonts w:cs="Tahoma"/>
          <w:szCs w:val="20"/>
        </w:rPr>
        <w:t>Fanno eccezione a questo principio gli utili che derivano da partecipazioni in società residenti in Stati o territori a regime fiscale privilegiato le cui azioni siano quotate nei mercati regolamentati. I dividendi derivanti da queste partecipazioni, infatti, sono soggetti a ritenuta a titolo d’imposta del 26% sul 100% del relativo ammontare</w:t>
      </w:r>
      <w:r w:rsidR="009B2302" w:rsidRPr="00305AEB">
        <w:rPr>
          <w:rFonts w:cs="Tahoma"/>
          <w:szCs w:val="20"/>
        </w:rPr>
        <w:t xml:space="preserve"> (art. 27, comma 4, lett. b) del D.P.R. n. 600/73)</w:t>
      </w:r>
      <w:r w:rsidRPr="00305AEB">
        <w:rPr>
          <w:rFonts w:cs="Tahoma"/>
          <w:szCs w:val="20"/>
        </w:rPr>
        <w:t>.</w:t>
      </w:r>
    </w:p>
    <w:p w14:paraId="55333CB5" w14:textId="77777777" w:rsidR="0069364A" w:rsidRPr="00305AEB" w:rsidRDefault="0069364A" w:rsidP="00186726">
      <w:pPr>
        <w:pStyle w:val="NUOVOSOTTOPARAGRAFO"/>
        <w:rPr>
          <w:rFonts w:cs="Tahoma"/>
        </w:rPr>
      </w:pPr>
    </w:p>
    <w:p w14:paraId="655E7BCB" w14:textId="77777777" w:rsidR="008D15F0" w:rsidRPr="00305AEB" w:rsidRDefault="008D15F0" w:rsidP="00186726">
      <w:pPr>
        <w:pStyle w:val="NUOVOSOTTOPARAGRAFO"/>
        <w:rPr>
          <w:rFonts w:cs="Tahoma"/>
        </w:rPr>
      </w:pPr>
      <w:bookmarkStart w:id="112" w:name="_Toc161933174"/>
      <w:r w:rsidRPr="00305AEB">
        <w:rPr>
          <w:rFonts w:cs="Tahoma"/>
        </w:rPr>
        <w:t>5.5.1 Rilevanza del periodo di maturazione per i dividendi da Paesi black list</w:t>
      </w:r>
      <w:bookmarkEnd w:id="112"/>
    </w:p>
    <w:p w14:paraId="74BFFF4C" w14:textId="77777777" w:rsidR="008D15F0" w:rsidRPr="00305AEB" w:rsidRDefault="008D15F0" w:rsidP="00186726">
      <w:pPr>
        <w:tabs>
          <w:tab w:val="left" w:pos="7371"/>
          <w:tab w:val="right" w:pos="8080"/>
        </w:tabs>
        <w:rPr>
          <w:rFonts w:cs="Tahoma"/>
          <w:szCs w:val="20"/>
        </w:rPr>
      </w:pPr>
      <w:r w:rsidRPr="00305AEB">
        <w:rPr>
          <w:rFonts w:cs="Tahoma"/>
          <w:szCs w:val="20"/>
        </w:rPr>
        <w:t>Secondo l’art. comma 1007 della L. 205/2017, non si considerano provenienti da società residenti o localizzate in Stati o territori a regime fiscale privilegiato:</w:t>
      </w:r>
    </w:p>
    <w:p w14:paraId="04B1FDAD" w14:textId="77777777" w:rsidR="008D15F0" w:rsidRPr="00305AEB" w:rsidRDefault="008D15F0" w:rsidP="00186726">
      <w:pPr>
        <w:pStyle w:val="Paragrafoelenco"/>
        <w:numPr>
          <w:ilvl w:val="0"/>
          <w:numId w:val="34"/>
        </w:numPr>
        <w:tabs>
          <w:tab w:val="left" w:pos="7371"/>
          <w:tab w:val="right" w:pos="8080"/>
        </w:tabs>
        <w:rPr>
          <w:rFonts w:cs="Tahoma"/>
          <w:szCs w:val="20"/>
        </w:rPr>
      </w:pPr>
      <w:r w:rsidRPr="00305AEB">
        <w:rPr>
          <w:rFonts w:cs="Tahoma"/>
          <w:szCs w:val="20"/>
        </w:rPr>
        <w:t>gli utili percepiti a partire dal 2015 e maturati in periodi d'imposta precedenti nei quali la partecipata era residente o localizzata in Stati o territori non inclusi nella black list di cui al DM 21.11.2001 (primo periodo);</w:t>
      </w:r>
    </w:p>
    <w:p w14:paraId="3B5D7B16" w14:textId="77777777" w:rsidR="008D15F0" w:rsidRPr="00305AEB" w:rsidRDefault="008D15F0" w:rsidP="00186726">
      <w:pPr>
        <w:pStyle w:val="Paragrafoelenco"/>
        <w:numPr>
          <w:ilvl w:val="0"/>
          <w:numId w:val="34"/>
        </w:numPr>
        <w:tabs>
          <w:tab w:val="left" w:pos="7371"/>
          <w:tab w:val="right" w:pos="8080"/>
        </w:tabs>
        <w:rPr>
          <w:rFonts w:cs="Tahoma"/>
          <w:szCs w:val="20"/>
        </w:rPr>
      </w:pPr>
      <w:r w:rsidRPr="00305AEB">
        <w:rPr>
          <w:rFonts w:cs="Tahoma"/>
          <w:szCs w:val="20"/>
        </w:rPr>
        <w:t>gli utili maturati dal 2015 in poi in Stati o territori non a regime privilegiato e, in seguito, percepiti in periodi d'imposta in cui risultino integrate le condizioni per considerare a fiscalità privilegiata lo Stato o territorio estero.</w:t>
      </w:r>
    </w:p>
    <w:p w14:paraId="7007C823" w14:textId="77777777" w:rsidR="00427485" w:rsidRPr="00305AEB" w:rsidRDefault="00427485" w:rsidP="00186726">
      <w:pPr>
        <w:tabs>
          <w:tab w:val="left" w:pos="7371"/>
          <w:tab w:val="right" w:pos="8080"/>
        </w:tabs>
        <w:rPr>
          <w:rFonts w:cs="Tahoma"/>
          <w:szCs w:val="20"/>
        </w:rPr>
      </w:pPr>
      <w:r w:rsidRPr="00305AEB">
        <w:rPr>
          <w:rFonts w:cs="Tahoma"/>
          <w:szCs w:val="20"/>
        </w:rPr>
        <w:t>In merito, la risposta a interpello Agenzia delle Entrate 12.1.2021 n. 38 ha chiarito che si deve verificare se nel periodo di "formazione" dell'utile la società partecipata risulta residente in uno Stato a fiscalità ordinaria secondo le regole vigenti nelle rispettive annualità di imposta.</w:t>
      </w:r>
    </w:p>
    <w:p w14:paraId="3E8FF600" w14:textId="7595DCB9" w:rsidR="00427485" w:rsidRPr="00305AEB" w:rsidRDefault="00427485" w:rsidP="00186726">
      <w:pPr>
        <w:tabs>
          <w:tab w:val="left" w:pos="7371"/>
          <w:tab w:val="right" w:pos="8080"/>
        </w:tabs>
        <w:rPr>
          <w:rFonts w:cs="Tahoma"/>
          <w:szCs w:val="20"/>
        </w:rPr>
      </w:pPr>
      <w:r w:rsidRPr="00305AEB">
        <w:rPr>
          <w:rFonts w:cs="Tahoma"/>
          <w:szCs w:val="20"/>
        </w:rPr>
        <w:t>In caso positivo, i dividendi ricevuti dal socio residente in Italia non si considerano provenienti da un paradiso fiscale e non scontano la tassazione integrale.</w:t>
      </w:r>
    </w:p>
    <w:p w14:paraId="0C47DF66" w14:textId="6971672C" w:rsidR="008D15F0" w:rsidRPr="00305AEB" w:rsidRDefault="008D15F0" w:rsidP="00186726">
      <w:pPr>
        <w:tabs>
          <w:tab w:val="left" w:pos="7371"/>
          <w:tab w:val="right" w:pos="8080"/>
        </w:tabs>
        <w:rPr>
          <w:rFonts w:cs="Tahoma"/>
          <w:szCs w:val="20"/>
        </w:rPr>
      </w:pPr>
      <w:r w:rsidRPr="00305AEB">
        <w:rPr>
          <w:rFonts w:cs="Tahoma"/>
          <w:szCs w:val="20"/>
        </w:rPr>
        <w:t xml:space="preserve">L’art. 1 comma 1007 della L. 205/2017 non richiama esplicitamente l'ipotesi dei dividendi distribuiti in un periodo di imposta in cui la partecipata risulta residente in uno Stato a fiscalità ordinaria, ma si riferiscono ad utili maturati quando il medesimo Stato era a fiscalità privilegiata. </w:t>
      </w:r>
    </w:p>
    <w:p w14:paraId="3C520ED1" w14:textId="77777777" w:rsidR="008D15F0" w:rsidRPr="00305AEB" w:rsidRDefault="008D15F0" w:rsidP="00186726">
      <w:pPr>
        <w:tabs>
          <w:tab w:val="left" w:pos="7371"/>
          <w:tab w:val="right" w:pos="8080"/>
        </w:tabs>
        <w:rPr>
          <w:rFonts w:cs="Tahoma"/>
          <w:szCs w:val="20"/>
        </w:rPr>
      </w:pPr>
      <w:r w:rsidRPr="00305AEB">
        <w:rPr>
          <w:rFonts w:cs="Tahoma"/>
          <w:szCs w:val="20"/>
        </w:rPr>
        <w:t xml:space="preserve">In tale circostanza, sono tuttora applicabili i principi della C.M. n. 35/E del 2016 (si veda anche la risposta n. 52 dell'Agenzia Entrate a </w:t>
      </w:r>
      <w:proofErr w:type="spellStart"/>
      <w:r w:rsidRPr="00305AEB">
        <w:rPr>
          <w:rFonts w:cs="Tahoma"/>
          <w:szCs w:val="20"/>
        </w:rPr>
        <w:t>Telefisco</w:t>
      </w:r>
      <w:proofErr w:type="spellEnd"/>
      <w:r w:rsidRPr="00305AEB">
        <w:rPr>
          <w:rFonts w:cs="Tahoma"/>
          <w:szCs w:val="20"/>
        </w:rPr>
        <w:t xml:space="preserve"> 2019 del 31.1.2019; Circolare Assonime n. 15 del 2018). </w:t>
      </w:r>
    </w:p>
    <w:p w14:paraId="330F3BB2" w14:textId="77777777" w:rsidR="008D15F0" w:rsidRPr="00305AEB" w:rsidRDefault="008D15F0" w:rsidP="00186726">
      <w:pPr>
        <w:tabs>
          <w:tab w:val="left" w:pos="7371"/>
          <w:tab w:val="right" w:pos="8080"/>
        </w:tabs>
        <w:rPr>
          <w:rFonts w:cs="Tahoma"/>
          <w:szCs w:val="20"/>
        </w:rPr>
      </w:pPr>
      <w:r w:rsidRPr="00305AEB">
        <w:rPr>
          <w:rFonts w:cs="Tahoma"/>
          <w:szCs w:val="20"/>
        </w:rPr>
        <w:t>Pertanto, il dividendo deve essere considerato come proveniente da uno Stato a fiscalità ordinaria se:</w:t>
      </w:r>
    </w:p>
    <w:p w14:paraId="6A71F859" w14:textId="77777777" w:rsidR="008D15F0" w:rsidRPr="00305AEB" w:rsidRDefault="008D15F0" w:rsidP="00186726">
      <w:pPr>
        <w:pStyle w:val="Paragrafoelenco"/>
        <w:numPr>
          <w:ilvl w:val="0"/>
          <w:numId w:val="35"/>
        </w:numPr>
        <w:tabs>
          <w:tab w:val="left" w:pos="7371"/>
          <w:tab w:val="right" w:pos="8080"/>
        </w:tabs>
        <w:rPr>
          <w:rFonts w:cs="Tahoma"/>
          <w:szCs w:val="20"/>
        </w:rPr>
      </w:pPr>
      <w:r w:rsidRPr="00305AEB">
        <w:rPr>
          <w:rFonts w:cs="Tahoma"/>
          <w:szCs w:val="20"/>
        </w:rPr>
        <w:lastRenderedPageBreak/>
        <w:t>lo Stato estero, al momento della distribuzione, non integra più i presupposti per essere considerato un "paradiso fiscale";</w:t>
      </w:r>
    </w:p>
    <w:p w14:paraId="3151629F" w14:textId="77777777" w:rsidR="008D15F0" w:rsidRPr="00305AEB" w:rsidRDefault="008D15F0" w:rsidP="00186726">
      <w:pPr>
        <w:pStyle w:val="Paragrafoelenco"/>
        <w:numPr>
          <w:ilvl w:val="0"/>
          <w:numId w:val="35"/>
        </w:numPr>
        <w:tabs>
          <w:tab w:val="left" w:pos="7371"/>
          <w:tab w:val="right" w:pos="8080"/>
        </w:tabs>
        <w:rPr>
          <w:rFonts w:cs="Tahoma"/>
          <w:szCs w:val="20"/>
        </w:rPr>
      </w:pPr>
      <w:r w:rsidRPr="00305AEB">
        <w:rPr>
          <w:rFonts w:cs="Tahoma"/>
          <w:szCs w:val="20"/>
        </w:rPr>
        <w:t>tale condizione risulta altresì verificata, secondo i criteri vigenti all'atto della percezione del dividendo (guardando, cioè alle attuali regole, anche per gli utili formatisi prima del 2015), per ogni esercizio di formazione degli stessi utili.</w:t>
      </w:r>
    </w:p>
    <w:p w14:paraId="1A414402" w14:textId="77777777" w:rsidR="008D15F0" w:rsidRPr="00305AEB" w:rsidRDefault="008D15F0" w:rsidP="00186726">
      <w:pPr>
        <w:tabs>
          <w:tab w:val="left" w:pos="7371"/>
          <w:tab w:val="right" w:pos="8080"/>
        </w:tabs>
        <w:rPr>
          <w:rFonts w:cs="Tahoma"/>
          <w:szCs w:val="20"/>
        </w:rPr>
      </w:pPr>
      <w:r w:rsidRPr="00305AEB">
        <w:rPr>
          <w:rFonts w:cs="Tahoma"/>
          <w:szCs w:val="20"/>
        </w:rPr>
        <w:t>In altri termini, i dividendi distribuiti da una società estera e formati con redditi prodotti in un esercizio in cui era considerata black list con le regole all'epoca vigenti, ma non con le regole vigenti al momento della distribuzione, non sono soggetti a tassazione integrale.</w:t>
      </w:r>
    </w:p>
    <w:p w14:paraId="2A56C38E" w14:textId="77777777" w:rsidR="007630E9" w:rsidRPr="00305AEB" w:rsidRDefault="007630E9" w:rsidP="00186726">
      <w:pPr>
        <w:pStyle w:val="NUOVOSOTTOPARAGRAFO"/>
        <w:rPr>
          <w:rFonts w:cs="Tahoma"/>
        </w:rPr>
      </w:pPr>
    </w:p>
    <w:p w14:paraId="7702E7DF" w14:textId="3EB46A17" w:rsidR="008D15F0" w:rsidRPr="00305AEB" w:rsidRDefault="008D15F0" w:rsidP="00186726">
      <w:pPr>
        <w:pStyle w:val="NUOVOSOTTOPARAGRAFO"/>
        <w:rPr>
          <w:rFonts w:cs="Tahoma"/>
        </w:rPr>
      </w:pPr>
      <w:bookmarkStart w:id="113" w:name="_Toc161933175"/>
      <w:r w:rsidRPr="00305AEB">
        <w:rPr>
          <w:rFonts w:cs="Tahoma"/>
        </w:rPr>
        <w:t>5.5.2 Disapplicazione della tassazione integrale dei dividendi</w:t>
      </w:r>
      <w:bookmarkEnd w:id="113"/>
    </w:p>
    <w:p w14:paraId="458657B6" w14:textId="77777777" w:rsidR="008D15F0" w:rsidRPr="00305AEB" w:rsidRDefault="008D15F0" w:rsidP="00186726">
      <w:pPr>
        <w:tabs>
          <w:tab w:val="left" w:pos="7371"/>
          <w:tab w:val="right" w:pos="8080"/>
        </w:tabs>
        <w:rPr>
          <w:rFonts w:cs="Tahoma"/>
          <w:szCs w:val="20"/>
        </w:rPr>
      </w:pPr>
      <w:r w:rsidRPr="00305AEB">
        <w:rPr>
          <w:rFonts w:cs="Tahoma"/>
          <w:szCs w:val="20"/>
        </w:rPr>
        <w:t>Il regime di integrale imponibilità dei dividendi in argomento può essere disapplicato, anche mediante presentazione di apposita istanza di interpello ex art. 11, comma 1, lett. b) della L. 212/2000, dimostrando che dalla partecipazione non consegue l'effetto di localizzare i redditi in Stati o territori a regime fiscale privilegiato (art. 47-bis, comma 2, lett. b) del TUIR).</w:t>
      </w:r>
    </w:p>
    <w:p w14:paraId="4DDFCB24" w14:textId="77777777" w:rsidR="0069364A" w:rsidRPr="00305AEB" w:rsidRDefault="0069364A" w:rsidP="00186726">
      <w:pPr>
        <w:pStyle w:val="NUOVOSOTTOPARAGRAFO"/>
        <w:rPr>
          <w:rFonts w:cs="Tahoma"/>
        </w:rPr>
      </w:pPr>
    </w:p>
    <w:p w14:paraId="1D80FEBE" w14:textId="77777777" w:rsidR="008D15F0" w:rsidRPr="00305AEB" w:rsidRDefault="008D15F0" w:rsidP="00186726">
      <w:pPr>
        <w:pStyle w:val="NUOVOSOTTOPARAGRAFO"/>
        <w:rPr>
          <w:rFonts w:cs="Tahoma"/>
        </w:rPr>
      </w:pPr>
      <w:bookmarkStart w:id="114" w:name="_Toc161933176"/>
      <w:r w:rsidRPr="00305AEB">
        <w:rPr>
          <w:rFonts w:cs="Tahoma"/>
        </w:rPr>
        <w:t>5.5.3 Detassazione degli utili provenienti da soggetti a fiscalità privilegiata</w:t>
      </w:r>
      <w:bookmarkEnd w:id="114"/>
    </w:p>
    <w:p w14:paraId="78B9909E" w14:textId="77777777" w:rsidR="008D15F0" w:rsidRPr="00305AEB" w:rsidRDefault="008D15F0" w:rsidP="00186726">
      <w:pPr>
        <w:tabs>
          <w:tab w:val="left" w:pos="7371"/>
          <w:tab w:val="right" w:pos="8080"/>
        </w:tabs>
        <w:rPr>
          <w:rFonts w:cs="Tahoma"/>
          <w:szCs w:val="20"/>
        </w:rPr>
      </w:pPr>
      <w:r w:rsidRPr="00305AEB">
        <w:rPr>
          <w:rFonts w:cs="Tahoma"/>
          <w:szCs w:val="20"/>
        </w:rPr>
        <w:t>Ai sensi dell'art. 89, comma 3 del TUIR, gli utili provenienti da soggetti a regime fiscale privilegiato:</w:t>
      </w:r>
    </w:p>
    <w:p w14:paraId="01EDF630" w14:textId="77777777" w:rsidR="008D15F0" w:rsidRPr="00305AEB" w:rsidRDefault="008D15F0" w:rsidP="00186726">
      <w:pPr>
        <w:pStyle w:val="Paragrafoelenco"/>
        <w:numPr>
          <w:ilvl w:val="0"/>
          <w:numId w:val="36"/>
        </w:numPr>
        <w:tabs>
          <w:tab w:val="left" w:pos="7371"/>
          <w:tab w:val="right" w:pos="8080"/>
        </w:tabs>
        <w:rPr>
          <w:rFonts w:cs="Tahoma"/>
          <w:szCs w:val="20"/>
        </w:rPr>
      </w:pPr>
      <w:r w:rsidRPr="00305AEB">
        <w:rPr>
          <w:rFonts w:cs="Tahoma"/>
          <w:szCs w:val="20"/>
        </w:rPr>
        <w:t>sono esclusi dalla formazione del reddito dell'ente ricevente per il 50% del loro ammontare;</w:t>
      </w:r>
    </w:p>
    <w:p w14:paraId="210A3B6C" w14:textId="77777777" w:rsidR="008D15F0" w:rsidRPr="00305AEB" w:rsidRDefault="008D15F0" w:rsidP="00186726">
      <w:pPr>
        <w:pStyle w:val="Paragrafoelenco"/>
        <w:numPr>
          <w:ilvl w:val="0"/>
          <w:numId w:val="36"/>
        </w:numPr>
        <w:tabs>
          <w:tab w:val="left" w:pos="7371"/>
          <w:tab w:val="right" w:pos="8080"/>
        </w:tabs>
        <w:rPr>
          <w:rFonts w:cs="Tahoma"/>
          <w:szCs w:val="20"/>
        </w:rPr>
      </w:pPr>
      <w:r w:rsidRPr="00305AEB">
        <w:rPr>
          <w:rFonts w:cs="Tahoma"/>
          <w:szCs w:val="20"/>
        </w:rPr>
        <w:t>a condizione che sia dimostrato, anche a seguito di interpello, l'effettivo svolgimento di un'attività economica effettiva, mediante l'impiego di persone, attrezzature, attivi e locali.</w:t>
      </w:r>
    </w:p>
    <w:p w14:paraId="2096699E" w14:textId="77777777" w:rsidR="0069364A" w:rsidRPr="00305AEB" w:rsidRDefault="0069364A" w:rsidP="00186726">
      <w:pPr>
        <w:pStyle w:val="NUOVOSOTTOPARAGRAFO"/>
        <w:rPr>
          <w:rFonts w:cs="Tahoma"/>
        </w:rPr>
      </w:pPr>
    </w:p>
    <w:p w14:paraId="455E9289" w14:textId="77777777" w:rsidR="008D15F0" w:rsidRPr="00305AEB" w:rsidRDefault="008D15F0" w:rsidP="00186726">
      <w:pPr>
        <w:pStyle w:val="NUOVOSOTTOPARAGRAFO"/>
        <w:rPr>
          <w:rFonts w:cs="Tahoma"/>
        </w:rPr>
      </w:pPr>
      <w:bookmarkStart w:id="115" w:name="_Toc161933177"/>
      <w:r w:rsidRPr="00305AEB">
        <w:rPr>
          <w:rFonts w:cs="Tahoma"/>
        </w:rPr>
        <w:t>5.5.4 Dividendi distribuiti da società conduit</w:t>
      </w:r>
      <w:bookmarkEnd w:id="115"/>
    </w:p>
    <w:p w14:paraId="58287E31" w14:textId="4A6663CF" w:rsidR="008D15F0" w:rsidRPr="00305AEB" w:rsidRDefault="008D15F0" w:rsidP="00186726">
      <w:pPr>
        <w:tabs>
          <w:tab w:val="left" w:pos="7371"/>
          <w:tab w:val="right" w:pos="8080"/>
        </w:tabs>
        <w:rPr>
          <w:rFonts w:cs="Tahoma"/>
          <w:szCs w:val="20"/>
        </w:rPr>
      </w:pPr>
      <w:r w:rsidRPr="00305AEB">
        <w:rPr>
          <w:rFonts w:cs="Tahoma"/>
          <w:szCs w:val="20"/>
        </w:rPr>
        <w:t>Il regime di tassazione integrale riguarda non solo gli utili e i proventi equiparati distribuiti direttamente dai soggetti residenti nel paradiso fiscale, ma anche quelli - da essi generati - che fluiscono tramite società intermedie (c.d. "conduit").</w:t>
      </w:r>
    </w:p>
    <w:p w14:paraId="247DF146" w14:textId="74DFD7CA" w:rsidR="008D15F0" w:rsidRPr="00305AEB" w:rsidRDefault="008D15F0" w:rsidP="00186726">
      <w:pPr>
        <w:tabs>
          <w:tab w:val="left" w:pos="7371"/>
          <w:tab w:val="right" w:pos="8080"/>
        </w:tabs>
        <w:rPr>
          <w:rFonts w:cs="Tahoma"/>
          <w:szCs w:val="20"/>
        </w:rPr>
      </w:pPr>
      <w:r w:rsidRPr="00305AEB">
        <w:rPr>
          <w:rFonts w:cs="Tahoma"/>
          <w:szCs w:val="20"/>
        </w:rPr>
        <w:t xml:space="preserve">Si considerano provenienti da imprese o enti residenti in Stati a fiscalità privilegiata gli utili relativi al possesso di partecipazioni dirette in tali soggetti o di partecipazioni di controllo ai sensi della disciplina CFC (art. 167, comma 2 del TUIR) in società residenti all'estero che conseguono utili </w:t>
      </w:r>
      <w:proofErr w:type="gramStart"/>
      <w:r w:rsidRPr="00305AEB">
        <w:rPr>
          <w:rFonts w:cs="Tahoma"/>
          <w:szCs w:val="20"/>
        </w:rPr>
        <w:t>dalla partecipazioni</w:t>
      </w:r>
      <w:proofErr w:type="gramEnd"/>
      <w:r w:rsidRPr="00305AEB">
        <w:rPr>
          <w:rFonts w:cs="Tahoma"/>
          <w:szCs w:val="20"/>
        </w:rPr>
        <w:t xml:space="preserve"> in imprese o enti residenti in Stati a fiscalità privilegiata e nei limiti di tali utili.</w:t>
      </w:r>
    </w:p>
    <w:p w14:paraId="0E9DCB3F" w14:textId="77777777" w:rsidR="008D15F0" w:rsidRPr="00305AEB" w:rsidRDefault="008D15F0" w:rsidP="00186726">
      <w:pPr>
        <w:tabs>
          <w:tab w:val="left" w:pos="7371"/>
          <w:tab w:val="right" w:pos="8080"/>
        </w:tabs>
        <w:rPr>
          <w:rFonts w:cs="Tahoma"/>
          <w:szCs w:val="20"/>
        </w:rPr>
      </w:pPr>
      <w:r w:rsidRPr="00305AEB">
        <w:rPr>
          <w:rFonts w:cs="Tahoma"/>
          <w:szCs w:val="20"/>
        </w:rPr>
        <w:lastRenderedPageBreak/>
        <w:t xml:space="preserve">Con riferimento agli utili provenienti da Paradisi fiscali e distribuiti </w:t>
      </w:r>
      <w:proofErr w:type="gramStart"/>
      <w:r w:rsidRPr="00305AEB">
        <w:rPr>
          <w:rFonts w:cs="Tahoma"/>
          <w:szCs w:val="20"/>
        </w:rPr>
        <w:t>dai tramite</w:t>
      </w:r>
      <w:proofErr w:type="gramEnd"/>
      <w:r w:rsidRPr="00305AEB">
        <w:rPr>
          <w:rFonts w:cs="Tahoma"/>
          <w:szCs w:val="20"/>
        </w:rPr>
        <w:t xml:space="preserve"> società residenti nell'Unione Europea, ai fini della disapplicazione della tassazione integrale dei dividendi percepiti, l'analisi non deve basarsi su semplici quantificazioni del carico fiscale subìto dagli utili percepiti dalla società "madre" italiana. </w:t>
      </w:r>
    </w:p>
    <w:p w14:paraId="568AE7EF" w14:textId="77777777" w:rsidR="008D15F0" w:rsidRPr="00305AEB" w:rsidRDefault="008D15F0" w:rsidP="00186726">
      <w:pPr>
        <w:tabs>
          <w:tab w:val="left" w:pos="7371"/>
          <w:tab w:val="right" w:pos="8080"/>
        </w:tabs>
        <w:rPr>
          <w:rFonts w:cs="Tahoma"/>
          <w:szCs w:val="20"/>
        </w:rPr>
      </w:pPr>
      <w:r w:rsidRPr="00305AEB">
        <w:rPr>
          <w:rFonts w:cs="Tahoma"/>
          <w:szCs w:val="20"/>
        </w:rPr>
        <w:t>Rileva piuttosto la circostanza che la partecipazione nel soggetto localizzato nel Paese a fiscalità privilegiata non sia detenuta tramite la società figlia allo scopo di evitare artificiosamente che i redditi siano tassati in maniera congrua (principio di diritto Agenzia Entrate n. 20 del 2018).</w:t>
      </w:r>
    </w:p>
    <w:p w14:paraId="3A557F07" w14:textId="77777777" w:rsidR="005923A1" w:rsidRDefault="005923A1" w:rsidP="00186726">
      <w:pPr>
        <w:pStyle w:val="NUOVOSOTTOPARAGRAFO"/>
        <w:rPr>
          <w:rFonts w:cs="Tahoma"/>
        </w:rPr>
      </w:pPr>
    </w:p>
    <w:p w14:paraId="135A70CA" w14:textId="6C029686" w:rsidR="008D15F0" w:rsidRPr="00305AEB" w:rsidRDefault="008D15F0" w:rsidP="00186726">
      <w:pPr>
        <w:pStyle w:val="NUOVOSOTTOPARAGRAFO"/>
        <w:rPr>
          <w:rFonts w:cs="Tahoma"/>
        </w:rPr>
      </w:pPr>
      <w:bookmarkStart w:id="116" w:name="_Toc161933178"/>
      <w:r w:rsidRPr="00305AEB">
        <w:rPr>
          <w:rFonts w:cs="Tahoma"/>
        </w:rPr>
        <w:t>5.5.5 Distribuzione degli utili da parte della CFC</w:t>
      </w:r>
      <w:bookmarkEnd w:id="116"/>
    </w:p>
    <w:p w14:paraId="0FA5AA23" w14:textId="77777777" w:rsidR="008D15F0" w:rsidRPr="00305AEB" w:rsidRDefault="008D15F0" w:rsidP="00186726">
      <w:pPr>
        <w:tabs>
          <w:tab w:val="left" w:pos="7371"/>
          <w:tab w:val="right" w:pos="8080"/>
        </w:tabs>
        <w:rPr>
          <w:rFonts w:cs="Tahoma"/>
          <w:szCs w:val="20"/>
        </w:rPr>
      </w:pPr>
      <w:r w:rsidRPr="00305AEB">
        <w:rPr>
          <w:rFonts w:cs="Tahoma"/>
          <w:szCs w:val="20"/>
        </w:rPr>
        <w:t>L'imputazione per trasparenza al socio italiano del reddito della CFC esaurisce il prelievo fiscale in relazione a tale reddito, con la conseguenza che gli utili distribuiti dalla CFC sono totalmente esclusi da tassazione al momento della distribuzione e ciò a prescindere dalla circostanza che l'ammontare degli stessi non coincida con il reddito già assoggettato a tassazione separata in Italia, per effetto delle variazioni in aumento o in diminuzione operate ai fini della determinazione di quest'ultimo (C.M. n. 51/E del 2010).</w:t>
      </w:r>
    </w:p>
    <w:p w14:paraId="0032ED73" w14:textId="77777777" w:rsidR="00A77611" w:rsidRPr="00305AEB" w:rsidRDefault="00A77611" w:rsidP="00186726">
      <w:pPr>
        <w:tabs>
          <w:tab w:val="left" w:pos="7371"/>
          <w:tab w:val="right" w:pos="8080"/>
        </w:tabs>
        <w:rPr>
          <w:rFonts w:cs="Tahoma"/>
          <w:szCs w:val="20"/>
        </w:rPr>
      </w:pPr>
    </w:p>
    <w:p w14:paraId="7DD0441C" w14:textId="6D0B4F22" w:rsidR="00E17058" w:rsidRPr="00305AEB" w:rsidRDefault="00E17058" w:rsidP="00186726">
      <w:pPr>
        <w:pStyle w:val="NUOVOSOTTOPARAGRAFO"/>
        <w:rPr>
          <w:rFonts w:cs="Tahoma"/>
        </w:rPr>
      </w:pPr>
      <w:bookmarkStart w:id="117" w:name="_Toc161933179"/>
      <w:r w:rsidRPr="00305AEB">
        <w:rPr>
          <w:rFonts w:cs="Tahoma"/>
        </w:rPr>
        <w:t xml:space="preserve">5.5.6 </w:t>
      </w:r>
      <w:r w:rsidR="00A77611" w:rsidRPr="00305AEB">
        <w:rPr>
          <w:rFonts w:cs="Tahoma"/>
        </w:rPr>
        <w:t>Affrancamento degli utili delle partecipate a regime privilegiato</w:t>
      </w:r>
      <w:bookmarkEnd w:id="117"/>
    </w:p>
    <w:p w14:paraId="69ACE096" w14:textId="77777777" w:rsidR="00A77611" w:rsidRPr="00305AEB" w:rsidRDefault="0040517E" w:rsidP="00186726">
      <w:pPr>
        <w:tabs>
          <w:tab w:val="left" w:pos="7371"/>
          <w:tab w:val="right" w:pos="8080"/>
        </w:tabs>
        <w:rPr>
          <w:rFonts w:cs="Tahoma"/>
          <w:szCs w:val="20"/>
        </w:rPr>
      </w:pPr>
      <w:r w:rsidRPr="0040517E">
        <w:rPr>
          <w:rFonts w:cs="Tahoma"/>
          <w:szCs w:val="20"/>
        </w:rPr>
        <w:t>Viene introdotta un'imposizione sostitutiva sugli utili e sulle riserve di utili delle partecipate a regime fiscale privilegiato destinato sia ai soggetti IRES che ai soggetti IRPEF (questi ultimi, tuttavia, a condizione che le partecipazioni siano detenute in regime di impresa).</w:t>
      </w:r>
    </w:p>
    <w:p w14:paraId="112F8E4F" w14:textId="7CF6FC31" w:rsidR="0040517E" w:rsidRPr="0040517E" w:rsidRDefault="0040517E" w:rsidP="00186726">
      <w:pPr>
        <w:tabs>
          <w:tab w:val="left" w:pos="7371"/>
          <w:tab w:val="right" w:pos="8080"/>
        </w:tabs>
        <w:rPr>
          <w:rFonts w:cs="Tahoma"/>
          <w:szCs w:val="20"/>
        </w:rPr>
      </w:pPr>
      <w:r w:rsidRPr="0040517E">
        <w:rPr>
          <w:rFonts w:cs="Tahoma"/>
          <w:szCs w:val="20"/>
        </w:rPr>
        <w:t>Gli utili e le riserve di utili che possono essere affrancati sono quelli non ancora distribuiti all'1.1.2023 che risultano dal bilancio dei soggetti esteri direttamente o indirettamente partecipati relativo all'esercizio chiuso nel periodo d'imposta antecedente a quello in corso all'1.1.2022 (bilancio 2021, approvato nel corso del 2022, per i soggetti "solari").</w:t>
      </w:r>
    </w:p>
    <w:p w14:paraId="6075E4E1" w14:textId="77777777" w:rsidR="00A77611" w:rsidRPr="00305AEB" w:rsidRDefault="0040517E" w:rsidP="00186726">
      <w:pPr>
        <w:tabs>
          <w:tab w:val="left" w:pos="7371"/>
          <w:tab w:val="right" w:pos="8080"/>
        </w:tabs>
        <w:rPr>
          <w:rFonts w:cs="Tahoma"/>
          <w:szCs w:val="20"/>
        </w:rPr>
      </w:pPr>
      <w:r w:rsidRPr="0040517E">
        <w:rPr>
          <w:rFonts w:cs="Tahoma"/>
          <w:szCs w:val="20"/>
        </w:rPr>
        <w:t xml:space="preserve">Il versamento dell'imposta sostitutiva deve essere effettuato in un'unica soluzione, entro il termine di versamento del saldo delle imposte sui redditi dovute per il periodo d'imposta in corso al 31.12.2022 (in termini generali il 30.6.2023). Non è consentita la compensazione nel modello F24 ai sensi dell'art. 17 del </w:t>
      </w:r>
      <w:proofErr w:type="spellStart"/>
      <w:r w:rsidRPr="0040517E">
        <w:rPr>
          <w:rFonts w:cs="Tahoma"/>
          <w:szCs w:val="20"/>
        </w:rPr>
        <w:t>DLgs</w:t>
      </w:r>
      <w:proofErr w:type="spellEnd"/>
      <w:r w:rsidRPr="0040517E">
        <w:rPr>
          <w:rFonts w:cs="Tahoma"/>
          <w:szCs w:val="20"/>
        </w:rPr>
        <w:t>. 241/97.</w:t>
      </w:r>
    </w:p>
    <w:p w14:paraId="24BD1A7B" w14:textId="25DA7564" w:rsidR="0040517E" w:rsidRPr="0040517E" w:rsidRDefault="0040517E" w:rsidP="00186726">
      <w:pPr>
        <w:tabs>
          <w:tab w:val="left" w:pos="7371"/>
          <w:tab w:val="right" w:pos="8080"/>
        </w:tabs>
        <w:rPr>
          <w:rFonts w:cs="Tahoma"/>
          <w:szCs w:val="20"/>
        </w:rPr>
      </w:pPr>
      <w:r w:rsidRPr="0040517E">
        <w:rPr>
          <w:rFonts w:cs="Tahoma"/>
          <w:szCs w:val="20"/>
        </w:rPr>
        <w:t>Le aliquote previste per l'affrancamento sono pari:</w:t>
      </w:r>
    </w:p>
    <w:p w14:paraId="05ADA0E7" w14:textId="77777777" w:rsidR="0040517E" w:rsidRPr="00305AEB" w:rsidRDefault="0040517E" w:rsidP="00186726">
      <w:pPr>
        <w:pStyle w:val="Paragrafoelenco"/>
        <w:numPr>
          <w:ilvl w:val="0"/>
          <w:numId w:val="78"/>
        </w:numPr>
        <w:tabs>
          <w:tab w:val="left" w:pos="7371"/>
          <w:tab w:val="right" w:pos="8080"/>
        </w:tabs>
        <w:rPr>
          <w:rFonts w:cs="Tahoma"/>
          <w:szCs w:val="20"/>
        </w:rPr>
      </w:pPr>
      <w:r w:rsidRPr="00305AEB">
        <w:rPr>
          <w:rFonts w:cs="Tahoma"/>
          <w:szCs w:val="20"/>
        </w:rPr>
        <w:t>al 9%, per i soggetti IRES;</w:t>
      </w:r>
    </w:p>
    <w:p w14:paraId="71026494" w14:textId="77777777" w:rsidR="0040517E" w:rsidRPr="00305AEB" w:rsidRDefault="0040517E" w:rsidP="00186726">
      <w:pPr>
        <w:pStyle w:val="Paragrafoelenco"/>
        <w:numPr>
          <w:ilvl w:val="0"/>
          <w:numId w:val="78"/>
        </w:numPr>
        <w:tabs>
          <w:tab w:val="left" w:pos="7371"/>
          <w:tab w:val="right" w:pos="8080"/>
        </w:tabs>
        <w:rPr>
          <w:rFonts w:cs="Tahoma"/>
          <w:szCs w:val="20"/>
        </w:rPr>
      </w:pPr>
      <w:r w:rsidRPr="00305AEB">
        <w:rPr>
          <w:rFonts w:cs="Tahoma"/>
          <w:szCs w:val="20"/>
        </w:rPr>
        <w:t>al 30%, per i soggetti IRPEF. </w:t>
      </w:r>
    </w:p>
    <w:p w14:paraId="03D9777B" w14:textId="77777777" w:rsidR="0040517E" w:rsidRPr="0040517E" w:rsidRDefault="0040517E" w:rsidP="00186726">
      <w:pPr>
        <w:tabs>
          <w:tab w:val="left" w:pos="7371"/>
          <w:tab w:val="right" w:pos="8080"/>
        </w:tabs>
        <w:rPr>
          <w:rFonts w:cs="Tahoma"/>
          <w:szCs w:val="20"/>
        </w:rPr>
      </w:pPr>
      <w:r w:rsidRPr="0040517E">
        <w:rPr>
          <w:rFonts w:cs="Tahoma"/>
          <w:szCs w:val="20"/>
        </w:rPr>
        <w:lastRenderedPageBreak/>
        <w:t>Ove, però, il rimpatrio degli utili avvenga entro il termine di scadenza del versamento del saldo delle imposte dovute per il 2023 (in termini generali il 30.6.2024), tali aliquote sono ridotte di tre punti percentuali e, quindi, sono pari rispettivamente al 6% e al 27%.</w:t>
      </w:r>
    </w:p>
    <w:p w14:paraId="7218A7C5" w14:textId="77777777" w:rsidR="0040517E" w:rsidRPr="0040517E" w:rsidRDefault="0040517E" w:rsidP="00186726">
      <w:pPr>
        <w:tabs>
          <w:tab w:val="left" w:pos="7371"/>
          <w:tab w:val="right" w:pos="8080"/>
        </w:tabs>
        <w:rPr>
          <w:rFonts w:cs="Tahoma"/>
          <w:szCs w:val="20"/>
        </w:rPr>
      </w:pPr>
      <w:r w:rsidRPr="0040517E">
        <w:rPr>
          <w:rFonts w:cs="Tahoma"/>
          <w:szCs w:val="20"/>
        </w:rPr>
        <w:t>L'opzione può essere esercitata:</w:t>
      </w:r>
    </w:p>
    <w:p w14:paraId="36E912F3" w14:textId="77777777" w:rsidR="0040517E" w:rsidRPr="00305AEB" w:rsidRDefault="0040517E" w:rsidP="00186726">
      <w:pPr>
        <w:pStyle w:val="Paragrafoelenco"/>
        <w:numPr>
          <w:ilvl w:val="0"/>
          <w:numId w:val="79"/>
        </w:numPr>
        <w:tabs>
          <w:tab w:val="left" w:pos="7371"/>
          <w:tab w:val="right" w:pos="8080"/>
        </w:tabs>
        <w:rPr>
          <w:rFonts w:cs="Tahoma"/>
          <w:szCs w:val="20"/>
        </w:rPr>
      </w:pPr>
      <w:r w:rsidRPr="00305AEB">
        <w:rPr>
          <w:rFonts w:cs="Tahoma"/>
          <w:szCs w:val="20"/>
        </w:rPr>
        <w:t>distintamente per ciascuna partecipata estera, nonché</w:t>
      </w:r>
    </w:p>
    <w:p w14:paraId="2688BAC9" w14:textId="77777777" w:rsidR="0040517E" w:rsidRPr="00305AEB" w:rsidRDefault="0040517E" w:rsidP="00186726">
      <w:pPr>
        <w:pStyle w:val="Paragrafoelenco"/>
        <w:numPr>
          <w:ilvl w:val="0"/>
          <w:numId w:val="79"/>
        </w:numPr>
        <w:tabs>
          <w:tab w:val="left" w:pos="7371"/>
          <w:tab w:val="right" w:pos="8080"/>
        </w:tabs>
        <w:rPr>
          <w:rFonts w:cs="Tahoma"/>
          <w:szCs w:val="20"/>
        </w:rPr>
      </w:pPr>
      <w:r w:rsidRPr="00305AEB">
        <w:rPr>
          <w:rFonts w:cs="Tahoma"/>
          <w:szCs w:val="20"/>
        </w:rPr>
        <w:t>con riguardo a tutti o a parte dei relativi utili e riserve di utile.</w:t>
      </w:r>
    </w:p>
    <w:p w14:paraId="667287EF" w14:textId="77777777" w:rsidR="0040517E" w:rsidRPr="0040517E" w:rsidRDefault="0040517E" w:rsidP="00186726">
      <w:pPr>
        <w:tabs>
          <w:tab w:val="left" w:pos="7371"/>
          <w:tab w:val="right" w:pos="8080"/>
        </w:tabs>
        <w:rPr>
          <w:rFonts w:cs="Tahoma"/>
          <w:szCs w:val="20"/>
        </w:rPr>
      </w:pPr>
      <w:r w:rsidRPr="0040517E">
        <w:rPr>
          <w:rFonts w:cs="Tahoma"/>
          <w:szCs w:val="20"/>
        </w:rPr>
        <w:t>L'opzione si perfeziona con l'indicazione degli utili affrancati nella dichiarazione dei redditi riferita al periodo d'imposta in corso al 31.12.2022. Per i soggetti "solari" si tratta della dichiarazione REDDITI 2023, il cui termine di presentazione scade il 30.11.2023.</w:t>
      </w:r>
    </w:p>
    <w:p w14:paraId="6FB1DDDF" w14:textId="77777777" w:rsidR="0040517E" w:rsidRPr="0040517E" w:rsidRDefault="0040517E" w:rsidP="00186726">
      <w:pPr>
        <w:tabs>
          <w:tab w:val="left" w:pos="7371"/>
          <w:tab w:val="right" w:pos="8080"/>
        </w:tabs>
        <w:rPr>
          <w:rFonts w:cs="Tahoma"/>
          <w:szCs w:val="20"/>
        </w:rPr>
      </w:pPr>
      <w:r w:rsidRPr="0040517E">
        <w:rPr>
          <w:rFonts w:cs="Tahoma"/>
          <w:szCs w:val="20"/>
        </w:rPr>
        <w:t>Il costo fiscalmente riconosciuto della partecipazione nell'entità estera detenuta:</w:t>
      </w:r>
    </w:p>
    <w:p w14:paraId="159999FE" w14:textId="77777777" w:rsidR="0040517E" w:rsidRPr="00305AEB" w:rsidRDefault="0040517E" w:rsidP="00186726">
      <w:pPr>
        <w:pStyle w:val="Paragrafoelenco"/>
        <w:numPr>
          <w:ilvl w:val="0"/>
          <w:numId w:val="80"/>
        </w:numPr>
        <w:tabs>
          <w:tab w:val="left" w:pos="7371"/>
          <w:tab w:val="right" w:pos="8080"/>
        </w:tabs>
        <w:rPr>
          <w:rFonts w:cs="Tahoma"/>
          <w:szCs w:val="20"/>
        </w:rPr>
      </w:pPr>
      <w:r w:rsidRPr="00305AEB">
        <w:rPr>
          <w:rFonts w:cs="Tahoma"/>
          <w:szCs w:val="20"/>
        </w:rPr>
        <w:t>è incrementato dell'importo delle somme assoggettate alle imposte sostitutive;</w:t>
      </w:r>
    </w:p>
    <w:p w14:paraId="40B560FE" w14:textId="77777777" w:rsidR="0040517E" w:rsidRPr="00305AEB" w:rsidRDefault="0040517E" w:rsidP="00186726">
      <w:pPr>
        <w:pStyle w:val="Paragrafoelenco"/>
        <w:numPr>
          <w:ilvl w:val="0"/>
          <w:numId w:val="80"/>
        </w:numPr>
        <w:tabs>
          <w:tab w:val="left" w:pos="7371"/>
          <w:tab w:val="right" w:pos="8080"/>
        </w:tabs>
        <w:rPr>
          <w:rFonts w:cs="Tahoma"/>
          <w:szCs w:val="20"/>
        </w:rPr>
      </w:pPr>
      <w:r w:rsidRPr="00305AEB">
        <w:rPr>
          <w:rFonts w:cs="Tahoma"/>
          <w:szCs w:val="20"/>
        </w:rPr>
        <w:t>è ridotto degli utili distribuiti. </w:t>
      </w:r>
    </w:p>
    <w:p w14:paraId="5E14FE76" w14:textId="77777777" w:rsidR="004320C9" w:rsidRPr="00305AEB" w:rsidRDefault="0040517E" w:rsidP="00186726">
      <w:pPr>
        <w:tabs>
          <w:tab w:val="left" w:pos="7371"/>
          <w:tab w:val="right" w:pos="8080"/>
        </w:tabs>
        <w:rPr>
          <w:rFonts w:cs="Tahoma"/>
          <w:szCs w:val="20"/>
        </w:rPr>
      </w:pPr>
      <w:r w:rsidRPr="0040517E">
        <w:rPr>
          <w:rFonts w:cs="Tahoma"/>
          <w:szCs w:val="20"/>
        </w:rPr>
        <w:t>In tal modo, se il socio residente anziché rimpatriare gli utili decide di cedere la partecipazione, la plusvalenza realizzata è determinata assumendo quale costo quello maggiorato delle somme assoggettate ad imposizione sostitutiva.</w:t>
      </w:r>
    </w:p>
    <w:p w14:paraId="0956C133" w14:textId="394B5C20" w:rsidR="0040517E" w:rsidRPr="0040517E" w:rsidRDefault="0040517E" w:rsidP="00186726">
      <w:pPr>
        <w:tabs>
          <w:tab w:val="left" w:pos="7371"/>
          <w:tab w:val="right" w:pos="8080"/>
        </w:tabs>
        <w:rPr>
          <w:rFonts w:cs="Tahoma"/>
          <w:szCs w:val="20"/>
        </w:rPr>
      </w:pPr>
      <w:r w:rsidRPr="0040517E">
        <w:rPr>
          <w:rFonts w:cs="Tahoma"/>
          <w:szCs w:val="20"/>
        </w:rPr>
        <w:t>L'affrancamento non può dare luogo a minusvalenze deducibili.</w:t>
      </w:r>
    </w:p>
    <w:p w14:paraId="617CAF65" w14:textId="77777777" w:rsidR="0069364A" w:rsidRPr="00305AEB" w:rsidRDefault="0069364A" w:rsidP="00186726">
      <w:pPr>
        <w:pStyle w:val="Sottotitolo"/>
        <w:rPr>
          <w:rFonts w:cs="Tahoma"/>
          <w:spacing w:val="0"/>
        </w:rPr>
      </w:pPr>
    </w:p>
    <w:p w14:paraId="076195C1" w14:textId="77777777" w:rsidR="008D15F0" w:rsidRPr="00305AEB" w:rsidRDefault="008D15F0" w:rsidP="00186726">
      <w:pPr>
        <w:pStyle w:val="Sottotitolo"/>
        <w:rPr>
          <w:rFonts w:cs="Tahoma"/>
          <w:spacing w:val="0"/>
        </w:rPr>
      </w:pPr>
      <w:bookmarkStart w:id="118" w:name="_Toc161933180"/>
      <w:r w:rsidRPr="00305AEB">
        <w:rPr>
          <w:rFonts w:cs="Tahoma"/>
          <w:spacing w:val="0"/>
        </w:rPr>
        <w:t>5.6 Indicazione in dichiarazione</w:t>
      </w:r>
      <w:bookmarkEnd w:id="118"/>
    </w:p>
    <w:p w14:paraId="45BABB58" w14:textId="77777777" w:rsidR="008D15F0" w:rsidRPr="00305AEB" w:rsidRDefault="008D15F0" w:rsidP="00186726">
      <w:pPr>
        <w:pStyle w:val="NUOVOSOTTOPARAGRAFO"/>
        <w:rPr>
          <w:rFonts w:cs="Tahoma"/>
        </w:rPr>
      </w:pPr>
      <w:bookmarkStart w:id="119" w:name="_Toc161933181"/>
      <w:r w:rsidRPr="00305AEB">
        <w:rPr>
          <w:rFonts w:cs="Tahoma"/>
        </w:rPr>
        <w:t>5.6.1 Dividendo da Stato a fiscalità ordinaria</w:t>
      </w:r>
      <w:bookmarkEnd w:id="119"/>
    </w:p>
    <w:p w14:paraId="27B1FB95" w14:textId="77777777" w:rsidR="008D15F0" w:rsidRPr="00305AEB" w:rsidRDefault="008D15F0" w:rsidP="00186726">
      <w:pPr>
        <w:tabs>
          <w:tab w:val="left" w:pos="709"/>
          <w:tab w:val="right" w:pos="8080"/>
        </w:tabs>
        <w:rPr>
          <w:rFonts w:cs="Tahoma"/>
          <w:szCs w:val="20"/>
        </w:rPr>
      </w:pPr>
      <w:r w:rsidRPr="00305AEB">
        <w:rPr>
          <w:rFonts w:cs="Tahoma"/>
          <w:szCs w:val="20"/>
        </w:rPr>
        <w:t xml:space="preserve">Si ipotizza un dividendo proveniente da uno Stato a fiscalità ordinaria di 2.000 </w:t>
      </w:r>
      <w:proofErr w:type="gramStart"/>
      <w:r w:rsidRPr="00305AEB">
        <w:rPr>
          <w:rFonts w:cs="Tahoma"/>
          <w:szCs w:val="20"/>
        </w:rPr>
        <w:t>Euro</w:t>
      </w:r>
      <w:proofErr w:type="gramEnd"/>
      <w:r w:rsidRPr="00305AEB">
        <w:rPr>
          <w:rFonts w:cs="Tahoma"/>
          <w:szCs w:val="20"/>
        </w:rPr>
        <w:t xml:space="preserve"> che deriva da una partecipazione qualificata e risulta formato con utili prodotti nel 2016. </w:t>
      </w:r>
    </w:p>
    <w:p w14:paraId="720D4A15" w14:textId="77777777" w:rsidR="008D15F0" w:rsidRPr="00305AEB" w:rsidRDefault="008D15F0" w:rsidP="00186726">
      <w:pPr>
        <w:tabs>
          <w:tab w:val="left" w:pos="709"/>
          <w:tab w:val="right" w:pos="8080"/>
        </w:tabs>
        <w:rPr>
          <w:rFonts w:cs="Tahoma"/>
          <w:szCs w:val="20"/>
        </w:rPr>
      </w:pPr>
      <w:r w:rsidRPr="00305AEB">
        <w:rPr>
          <w:rFonts w:cs="Tahoma"/>
          <w:szCs w:val="20"/>
        </w:rPr>
        <w:t xml:space="preserve">Il provento è stato oggetto di un prelievo del 15% da parte dello Stato della </w:t>
      </w:r>
      <w:proofErr w:type="gramStart"/>
      <w:r w:rsidRPr="00305AEB">
        <w:rPr>
          <w:rFonts w:cs="Tahoma"/>
          <w:szCs w:val="20"/>
        </w:rPr>
        <w:t>fonte, pertanto</w:t>
      </w:r>
      <w:proofErr w:type="gramEnd"/>
      <w:r w:rsidRPr="00305AEB">
        <w:rPr>
          <w:rFonts w:cs="Tahoma"/>
          <w:szCs w:val="20"/>
        </w:rPr>
        <w:t xml:space="preserve"> l’ammontare su cui calcolare la ritenuta d’acconto del 26% è pari a 1.700,00 euro. </w:t>
      </w:r>
    </w:p>
    <w:p w14:paraId="02E0085C" w14:textId="77777777" w:rsidR="008D15F0" w:rsidRPr="00305AEB" w:rsidRDefault="008D15F0" w:rsidP="00186726">
      <w:pPr>
        <w:tabs>
          <w:tab w:val="left" w:pos="709"/>
          <w:tab w:val="right" w:pos="8080"/>
        </w:tabs>
        <w:rPr>
          <w:rFonts w:cs="Tahoma"/>
          <w:szCs w:val="20"/>
        </w:rPr>
      </w:pPr>
      <w:r w:rsidRPr="00305AEB">
        <w:rPr>
          <w:rFonts w:cs="Tahoma"/>
          <w:szCs w:val="20"/>
        </w:rPr>
        <w:t xml:space="preserve">Il provento viene riscosso direttamente su un conto bancario italiano della persona fisica </w:t>
      </w:r>
      <w:proofErr w:type="gramStart"/>
      <w:r w:rsidRPr="00305AEB">
        <w:rPr>
          <w:rFonts w:cs="Tahoma"/>
          <w:szCs w:val="20"/>
        </w:rPr>
        <w:t>residente, pertanto</w:t>
      </w:r>
      <w:proofErr w:type="gramEnd"/>
      <w:r w:rsidRPr="00305AEB">
        <w:rPr>
          <w:rFonts w:cs="Tahoma"/>
          <w:szCs w:val="20"/>
        </w:rPr>
        <w:t xml:space="preserve"> vi è un intermediario finanziario residente che interviene nella sua riscossione.</w:t>
      </w:r>
    </w:p>
    <w:p w14:paraId="6DD18F0F" w14:textId="77777777" w:rsidR="00E22CE6" w:rsidRDefault="00E22CE6">
      <w:pPr>
        <w:spacing w:after="0" w:line="240" w:lineRule="auto"/>
        <w:jc w:val="left"/>
        <w:rPr>
          <w:rFonts w:cs="Tahoma"/>
          <w:szCs w:val="20"/>
        </w:rPr>
      </w:pPr>
      <w:r>
        <w:rPr>
          <w:rFonts w:cs="Tahoma"/>
          <w:szCs w:val="20"/>
        </w:rPr>
        <w:br w:type="page"/>
      </w:r>
    </w:p>
    <w:p w14:paraId="67AD674B" w14:textId="2CC71DDE" w:rsidR="008D15F0" w:rsidRPr="00305AEB" w:rsidRDefault="008D15F0" w:rsidP="00186726">
      <w:pPr>
        <w:tabs>
          <w:tab w:val="left" w:pos="709"/>
          <w:tab w:val="right" w:pos="8080"/>
        </w:tabs>
        <w:rPr>
          <w:rFonts w:cs="Tahoma"/>
          <w:szCs w:val="20"/>
        </w:rPr>
      </w:pPr>
      <w:r w:rsidRPr="00305AEB">
        <w:rPr>
          <w:rFonts w:cs="Tahoma"/>
          <w:szCs w:val="20"/>
        </w:rPr>
        <w:lastRenderedPageBreak/>
        <w:t>La percezione del dividendo tramite un intermediario residente comporta, quindi, la compilazione del rigo RL1, nel quale occorre indicare:</w:t>
      </w:r>
    </w:p>
    <w:p w14:paraId="02609918" w14:textId="77777777" w:rsidR="008D15F0" w:rsidRPr="00305AEB" w:rsidRDefault="008D15F0" w:rsidP="00186726">
      <w:pPr>
        <w:pStyle w:val="Paragrafoelenco"/>
        <w:numPr>
          <w:ilvl w:val="0"/>
          <w:numId w:val="37"/>
        </w:numPr>
        <w:tabs>
          <w:tab w:val="left" w:pos="709"/>
          <w:tab w:val="right" w:pos="8080"/>
        </w:tabs>
        <w:rPr>
          <w:rFonts w:cs="Tahoma"/>
          <w:szCs w:val="20"/>
        </w:rPr>
      </w:pPr>
      <w:r w:rsidRPr="00305AEB">
        <w:rPr>
          <w:rFonts w:cs="Tahoma"/>
          <w:szCs w:val="20"/>
        </w:rPr>
        <w:t xml:space="preserve">il codice “5”, per indicare che l’utile di 2.000 </w:t>
      </w:r>
      <w:proofErr w:type="gramStart"/>
      <w:r w:rsidRPr="00305AEB">
        <w:rPr>
          <w:rFonts w:cs="Tahoma"/>
          <w:szCs w:val="20"/>
        </w:rPr>
        <w:t>Euro</w:t>
      </w:r>
      <w:proofErr w:type="gramEnd"/>
      <w:r w:rsidRPr="00305AEB">
        <w:rPr>
          <w:rFonts w:cs="Tahoma"/>
          <w:szCs w:val="20"/>
        </w:rPr>
        <w:t xml:space="preserve"> proviene da uno Stato a fiscalità ordinaria e che è stato prodotto nell’esercizio in corso al 31.12.2016;</w:t>
      </w:r>
    </w:p>
    <w:p w14:paraId="4EDDE6F7" w14:textId="77777777" w:rsidR="008D15F0" w:rsidRPr="00305AEB" w:rsidRDefault="008D15F0" w:rsidP="00186726">
      <w:pPr>
        <w:pStyle w:val="Paragrafoelenco"/>
        <w:numPr>
          <w:ilvl w:val="0"/>
          <w:numId w:val="37"/>
        </w:numPr>
        <w:tabs>
          <w:tab w:val="left" w:pos="709"/>
          <w:tab w:val="right" w:pos="8080"/>
        </w:tabs>
        <w:rPr>
          <w:rFonts w:cs="Tahoma"/>
          <w:szCs w:val="20"/>
        </w:rPr>
      </w:pPr>
      <w:r w:rsidRPr="00305AEB">
        <w:rPr>
          <w:rFonts w:cs="Tahoma"/>
          <w:szCs w:val="20"/>
        </w:rPr>
        <w:t>l’importo corrispondente al 49,72% del dividendo che risulta imponibile in ragione della natura qualificata della partecipazione (994,40 = 2.000 × 49,72%);</w:t>
      </w:r>
    </w:p>
    <w:p w14:paraId="31F262E2" w14:textId="77777777" w:rsidR="008D15F0" w:rsidRDefault="008D15F0" w:rsidP="00186726">
      <w:pPr>
        <w:pStyle w:val="Paragrafoelenco"/>
        <w:numPr>
          <w:ilvl w:val="0"/>
          <w:numId w:val="37"/>
        </w:numPr>
        <w:tabs>
          <w:tab w:val="left" w:pos="709"/>
          <w:tab w:val="right" w:pos="8080"/>
        </w:tabs>
        <w:rPr>
          <w:rFonts w:cs="Tahoma"/>
          <w:szCs w:val="20"/>
        </w:rPr>
      </w:pPr>
      <w:r w:rsidRPr="00305AEB">
        <w:rPr>
          <w:rFonts w:cs="Tahoma"/>
          <w:szCs w:val="20"/>
        </w:rPr>
        <w:t>l’importo delle ritenute d’acconto subite pari a 219,76 euro (1.700 × 49,72% × 26%).</w:t>
      </w:r>
    </w:p>
    <w:p w14:paraId="2EB5DC4D" w14:textId="77777777" w:rsidR="00D749C7" w:rsidRDefault="00D749C7" w:rsidP="00D749C7">
      <w:pPr>
        <w:pStyle w:val="Paragrafoelenco"/>
        <w:tabs>
          <w:tab w:val="left" w:pos="7371"/>
          <w:tab w:val="right" w:pos="8080"/>
        </w:tabs>
        <w:rPr>
          <w:rFonts w:cs="Tahoma"/>
          <w:color w:val="FF0000"/>
          <w:szCs w:val="20"/>
          <w:highlight w:val="yellow"/>
        </w:rPr>
      </w:pPr>
    </w:p>
    <w:p w14:paraId="2DCBF0A6" w14:textId="348A3951" w:rsidR="00E1170B" w:rsidRPr="00E1170B" w:rsidRDefault="00E1170B" w:rsidP="00E1170B">
      <w:pPr>
        <w:tabs>
          <w:tab w:val="left" w:pos="7371"/>
          <w:tab w:val="right" w:pos="8080"/>
        </w:tabs>
        <w:rPr>
          <w:rFonts w:cs="Tahoma"/>
          <w:color w:val="FF0000"/>
          <w:szCs w:val="20"/>
        </w:rPr>
      </w:pPr>
      <w:r>
        <w:rPr>
          <w:rFonts w:cs="Tahoma"/>
          <w:noProof/>
          <w:color w:val="FF0000"/>
          <w:szCs w:val="20"/>
        </w:rPr>
        <w:drawing>
          <wp:inline distT="0" distB="0" distL="0" distR="0" wp14:anchorId="1A0B721A" wp14:editId="4FB02BB9">
            <wp:extent cx="5849620" cy="633046"/>
            <wp:effectExtent l="0" t="0" r="0" b="0"/>
            <wp:docPr id="1341184775"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184775" name="Immagine 1341184775"/>
                    <pic:cNvPicPr/>
                  </pic:nvPicPr>
                  <pic:blipFill rotWithShape="1">
                    <a:blip r:embed="rId24"/>
                    <a:srcRect b="52048"/>
                    <a:stretch/>
                  </pic:blipFill>
                  <pic:spPr bwMode="auto">
                    <a:xfrm>
                      <a:off x="0" y="0"/>
                      <a:ext cx="5849620" cy="633046"/>
                    </a:xfrm>
                    <a:prstGeom prst="rect">
                      <a:avLst/>
                    </a:prstGeom>
                    <a:ln>
                      <a:noFill/>
                    </a:ln>
                    <a:extLst>
                      <a:ext uri="{53640926-AAD7-44D8-BBD7-CCE9431645EC}">
                        <a14:shadowObscured xmlns:a14="http://schemas.microsoft.com/office/drawing/2010/main"/>
                      </a:ext>
                    </a:extLst>
                  </pic:spPr>
                </pic:pic>
              </a:graphicData>
            </a:graphic>
          </wp:inline>
        </w:drawing>
      </w:r>
    </w:p>
    <w:p w14:paraId="50295D74" w14:textId="77777777" w:rsidR="00E74279" w:rsidRDefault="00E74279" w:rsidP="000F7D8F">
      <w:pPr>
        <w:pStyle w:val="NUOVOSOTTOPARAGRAFO"/>
        <w:rPr>
          <w:rFonts w:cs="Tahoma"/>
        </w:rPr>
      </w:pPr>
    </w:p>
    <w:p w14:paraId="75260A5D" w14:textId="354A32FF" w:rsidR="008D15F0" w:rsidRPr="00305AEB" w:rsidRDefault="008D15F0" w:rsidP="00186726">
      <w:pPr>
        <w:pStyle w:val="NUOVOSOTTOPARAGRAFO"/>
        <w:rPr>
          <w:rFonts w:cs="Tahoma"/>
        </w:rPr>
      </w:pPr>
      <w:bookmarkStart w:id="120" w:name="_Toc161933182"/>
      <w:r w:rsidRPr="00305AEB">
        <w:rPr>
          <w:rFonts w:cs="Tahoma"/>
        </w:rPr>
        <w:t>5.6.2 Dividendo percepito direttamente all’estero</w:t>
      </w:r>
      <w:bookmarkEnd w:id="120"/>
      <w:r w:rsidRPr="00305AEB">
        <w:rPr>
          <w:rFonts w:cs="Tahoma"/>
        </w:rPr>
        <w:t xml:space="preserve"> </w:t>
      </w:r>
    </w:p>
    <w:p w14:paraId="4F687657" w14:textId="77777777" w:rsidR="008D15F0" w:rsidRPr="00305AEB" w:rsidRDefault="008D15F0" w:rsidP="00186726">
      <w:pPr>
        <w:tabs>
          <w:tab w:val="left" w:pos="709"/>
          <w:tab w:val="right" w:pos="8080"/>
        </w:tabs>
        <w:rPr>
          <w:rFonts w:cs="Tahoma"/>
          <w:szCs w:val="20"/>
        </w:rPr>
      </w:pPr>
      <w:r w:rsidRPr="00305AEB">
        <w:rPr>
          <w:rFonts w:cs="Tahoma"/>
          <w:szCs w:val="20"/>
        </w:rPr>
        <w:t>Come è stato specificato prima, se i dividendi vengono percepiti direttamente, senza l’ausilio di un intermediario residente (situazione tipica per gli utili accreditati sui conti esteri della persona), è necessario assolvere in dichiarazione l’imposta sostitutiva di cui all’art. 18 del TUIR, con la medesima aliquota prevista per la ritenuta a titolo d’imposta (26%).</w:t>
      </w:r>
    </w:p>
    <w:p w14:paraId="7590B873" w14:textId="77777777" w:rsidR="008D15F0" w:rsidRPr="00305AEB" w:rsidRDefault="008D15F0" w:rsidP="00186726">
      <w:pPr>
        <w:tabs>
          <w:tab w:val="left" w:pos="709"/>
          <w:tab w:val="right" w:pos="8080"/>
        </w:tabs>
        <w:rPr>
          <w:rFonts w:cs="Tahoma"/>
          <w:szCs w:val="20"/>
        </w:rPr>
      </w:pPr>
      <w:r w:rsidRPr="00305AEB">
        <w:rPr>
          <w:rFonts w:cs="Tahoma"/>
          <w:szCs w:val="20"/>
        </w:rPr>
        <w:t>Come illustrato in precedenza, se l’utile viene riscosso per mezzo di un intermediario residente, questo opera una ritenuta a titolo d’imposta sull’utile al netto della ritenuta estera eventualmente applicata.</w:t>
      </w:r>
    </w:p>
    <w:p w14:paraId="4C01139B" w14:textId="77777777" w:rsidR="008D15F0" w:rsidRPr="00305AEB" w:rsidRDefault="008D15F0" w:rsidP="00186726">
      <w:pPr>
        <w:tabs>
          <w:tab w:val="left" w:pos="709"/>
          <w:tab w:val="right" w:pos="8080"/>
        </w:tabs>
        <w:rPr>
          <w:rFonts w:cs="Tahoma"/>
          <w:szCs w:val="20"/>
        </w:rPr>
      </w:pPr>
      <w:r w:rsidRPr="00305AEB">
        <w:rPr>
          <w:rFonts w:cs="Tahoma"/>
          <w:szCs w:val="20"/>
        </w:rPr>
        <w:t xml:space="preserve">In un’ottica di parificazione del livello impositivo tra utili percepiti mediante intermediario e utili percepiti direttamente si dovrebbe propendere per la medesima quantificazione della base imponibile per i dividendi percepiti direttamente, dichiarati nel quadro RM. </w:t>
      </w:r>
    </w:p>
    <w:p w14:paraId="6059F6A6" w14:textId="77777777" w:rsidR="008D15F0" w:rsidRPr="00305AEB" w:rsidRDefault="008D15F0" w:rsidP="00186726">
      <w:pPr>
        <w:tabs>
          <w:tab w:val="left" w:pos="709"/>
          <w:tab w:val="right" w:pos="8080"/>
        </w:tabs>
        <w:rPr>
          <w:rFonts w:cs="Tahoma"/>
          <w:szCs w:val="20"/>
        </w:rPr>
      </w:pPr>
      <w:r w:rsidRPr="00305AEB">
        <w:rPr>
          <w:rFonts w:cs="Tahoma"/>
          <w:szCs w:val="20"/>
        </w:rPr>
        <w:t xml:space="preserve">Tuttavia, l’Agenzia delle Entrate si è dimostrata di avviso contrario e nella recente risposta n. 14 del </w:t>
      </w:r>
      <w:proofErr w:type="spellStart"/>
      <w:r w:rsidRPr="00305AEB">
        <w:rPr>
          <w:rFonts w:cs="Tahoma"/>
          <w:szCs w:val="20"/>
        </w:rPr>
        <w:t>Videoforum</w:t>
      </w:r>
      <w:proofErr w:type="spellEnd"/>
      <w:r w:rsidRPr="00305AEB">
        <w:rPr>
          <w:rFonts w:cs="Tahoma"/>
          <w:szCs w:val="20"/>
        </w:rPr>
        <w:t xml:space="preserve"> del 30.5.2019 ha confermato quanto riportato nelle istruzioni al quadro RM del modello REDDITI PF, ovvero che la base imponibile dell’imposta sostitutiva del 26% risulta costituita dal dividendo lordo.</w:t>
      </w:r>
    </w:p>
    <w:p w14:paraId="76583A3C" w14:textId="77777777" w:rsidR="008D15F0" w:rsidRPr="00305AEB" w:rsidRDefault="008D15F0" w:rsidP="00186726">
      <w:pPr>
        <w:tabs>
          <w:tab w:val="left" w:pos="709"/>
          <w:tab w:val="right" w:pos="8080"/>
        </w:tabs>
        <w:rPr>
          <w:rFonts w:cs="Tahoma"/>
          <w:szCs w:val="20"/>
        </w:rPr>
      </w:pPr>
      <w:r w:rsidRPr="00305AEB">
        <w:rPr>
          <w:rFonts w:cs="Tahoma"/>
          <w:szCs w:val="20"/>
        </w:rPr>
        <w:t>Non è ammesso, quindi, liquidare l’imposta sostitutiva su un ammontare calcolato al netto del prelievo subito dallo Stato estero.</w:t>
      </w:r>
    </w:p>
    <w:p w14:paraId="31BEFA45" w14:textId="77777777" w:rsidR="008D15F0" w:rsidRPr="00305AEB" w:rsidRDefault="008D15F0" w:rsidP="00186726">
      <w:pPr>
        <w:tabs>
          <w:tab w:val="left" w:pos="709"/>
          <w:tab w:val="right" w:pos="8080"/>
        </w:tabs>
        <w:rPr>
          <w:rFonts w:cs="Tahoma"/>
          <w:szCs w:val="20"/>
        </w:rPr>
      </w:pPr>
      <w:r w:rsidRPr="00305AEB">
        <w:rPr>
          <w:rFonts w:cs="Tahoma"/>
          <w:szCs w:val="20"/>
        </w:rPr>
        <w:t>Tuttavia, questo orientamento determina un carico impositivo superiore per gli utili percepiti direttamente, difficilmente giustificabile nell’ottica di equiparare il regime impositivo dell’imposta sostitutiva a quello applicabile nel caso vi sia l’intervento di un intermediario residente.</w:t>
      </w:r>
    </w:p>
    <w:p w14:paraId="06940741" w14:textId="77777777" w:rsidR="008D15F0" w:rsidRPr="00305AEB" w:rsidRDefault="008D15F0" w:rsidP="00186726">
      <w:pPr>
        <w:tabs>
          <w:tab w:val="left" w:pos="709"/>
          <w:tab w:val="right" w:pos="8080"/>
        </w:tabs>
        <w:rPr>
          <w:rFonts w:cs="Tahoma"/>
          <w:szCs w:val="20"/>
        </w:rPr>
      </w:pPr>
      <w:r w:rsidRPr="00305AEB">
        <w:rPr>
          <w:rFonts w:cs="Tahoma"/>
          <w:szCs w:val="20"/>
        </w:rPr>
        <w:lastRenderedPageBreak/>
        <w:t xml:space="preserve">Vediamo un esempio. Posto in 100.000 </w:t>
      </w:r>
      <w:proofErr w:type="gramStart"/>
      <w:r w:rsidRPr="00305AEB">
        <w:rPr>
          <w:rFonts w:cs="Tahoma"/>
          <w:szCs w:val="20"/>
        </w:rPr>
        <w:t>Euro</w:t>
      </w:r>
      <w:proofErr w:type="gramEnd"/>
      <w:r w:rsidRPr="00305AEB">
        <w:rPr>
          <w:rFonts w:cs="Tahoma"/>
          <w:szCs w:val="20"/>
        </w:rPr>
        <w:t xml:space="preserve"> l’importo del dividendo estero, gravato da una ritenuta estera di 10.000 Euro (operata nella misura – 10% – prevista dalla Convezione che lega l’Italia e la Cina), adottando la linea interpretativa dell’Agenzia delle Entrate:</w:t>
      </w:r>
    </w:p>
    <w:p w14:paraId="77E70873" w14:textId="77777777" w:rsidR="008D15F0" w:rsidRPr="00305AEB" w:rsidRDefault="008D15F0" w:rsidP="00186726">
      <w:pPr>
        <w:pStyle w:val="Paragrafoelenco"/>
        <w:numPr>
          <w:ilvl w:val="0"/>
          <w:numId w:val="38"/>
        </w:numPr>
        <w:tabs>
          <w:tab w:val="left" w:pos="709"/>
          <w:tab w:val="right" w:pos="8080"/>
        </w:tabs>
        <w:rPr>
          <w:rFonts w:cs="Tahoma"/>
          <w:szCs w:val="20"/>
        </w:rPr>
      </w:pPr>
      <w:r w:rsidRPr="00305AEB">
        <w:rPr>
          <w:rFonts w:cs="Tahoma"/>
          <w:szCs w:val="20"/>
        </w:rPr>
        <w:t xml:space="preserve">nel caso di incasso mediante banca residente, questo opererebbe la ritenuta del 26% sull’importo netto di 90.000 </w:t>
      </w:r>
      <w:proofErr w:type="gramStart"/>
      <w:r w:rsidRPr="00305AEB">
        <w:rPr>
          <w:rFonts w:cs="Tahoma"/>
          <w:szCs w:val="20"/>
        </w:rPr>
        <w:t>Euro</w:t>
      </w:r>
      <w:proofErr w:type="gramEnd"/>
      <w:r w:rsidRPr="00305AEB">
        <w:rPr>
          <w:rFonts w:cs="Tahoma"/>
          <w:szCs w:val="20"/>
        </w:rPr>
        <w:t>, per un prelievo italiano pari a 23.400 Euro;</w:t>
      </w:r>
    </w:p>
    <w:p w14:paraId="753C1AB0" w14:textId="77777777" w:rsidR="008D15F0" w:rsidRPr="00305AEB" w:rsidRDefault="008D15F0" w:rsidP="00186726">
      <w:pPr>
        <w:pStyle w:val="Paragrafoelenco"/>
        <w:numPr>
          <w:ilvl w:val="0"/>
          <w:numId w:val="38"/>
        </w:numPr>
        <w:tabs>
          <w:tab w:val="left" w:pos="709"/>
          <w:tab w:val="right" w:pos="8080"/>
        </w:tabs>
        <w:rPr>
          <w:rFonts w:cs="Tahoma"/>
          <w:szCs w:val="20"/>
        </w:rPr>
      </w:pPr>
      <w:r w:rsidRPr="00305AEB">
        <w:rPr>
          <w:rFonts w:cs="Tahoma"/>
          <w:szCs w:val="20"/>
        </w:rPr>
        <w:t xml:space="preserve">nel caso di autoliquidazione dell’imposta sostitutiva nel quadro RM, essa avverrebbe sull’importo lordo di 100.000 </w:t>
      </w:r>
      <w:proofErr w:type="gramStart"/>
      <w:r w:rsidRPr="00305AEB">
        <w:rPr>
          <w:rFonts w:cs="Tahoma"/>
          <w:szCs w:val="20"/>
        </w:rPr>
        <w:t>Euro</w:t>
      </w:r>
      <w:proofErr w:type="gramEnd"/>
      <w:r w:rsidRPr="00305AEB">
        <w:rPr>
          <w:rFonts w:cs="Tahoma"/>
          <w:szCs w:val="20"/>
        </w:rPr>
        <w:t>, portando ad un prelievo italiano di 26.000 Euro.</w:t>
      </w:r>
    </w:p>
    <w:p w14:paraId="1DD8B5F8" w14:textId="77777777" w:rsidR="008D15F0" w:rsidRDefault="008D15F0" w:rsidP="00186726">
      <w:pPr>
        <w:tabs>
          <w:tab w:val="left" w:pos="709"/>
          <w:tab w:val="right" w:pos="8080"/>
        </w:tabs>
        <w:rPr>
          <w:rFonts w:cs="Tahoma"/>
          <w:szCs w:val="20"/>
        </w:rPr>
      </w:pPr>
      <w:r w:rsidRPr="00305AEB">
        <w:rPr>
          <w:rFonts w:cs="Tahoma"/>
          <w:szCs w:val="20"/>
        </w:rPr>
        <w:t>In questa circostanza, il rigo RM12 del modello REDDITI PF deve essere compilato come segue:</w:t>
      </w:r>
    </w:p>
    <w:p w14:paraId="2D221F0A" w14:textId="0E7F61C4" w:rsidR="00D749C7" w:rsidRPr="00305AEB" w:rsidRDefault="00E1170B" w:rsidP="00186726">
      <w:pPr>
        <w:tabs>
          <w:tab w:val="left" w:pos="709"/>
          <w:tab w:val="right" w:pos="8080"/>
        </w:tabs>
        <w:rPr>
          <w:rFonts w:cs="Tahoma"/>
          <w:szCs w:val="20"/>
        </w:rPr>
      </w:pPr>
      <w:r>
        <w:rPr>
          <w:rFonts w:cs="Tahoma"/>
          <w:noProof/>
          <w:szCs w:val="20"/>
        </w:rPr>
        <w:drawing>
          <wp:inline distT="0" distB="0" distL="0" distR="0" wp14:anchorId="36918B93" wp14:editId="5EAF849D">
            <wp:extent cx="5844540" cy="466725"/>
            <wp:effectExtent l="0" t="0" r="3810" b="9525"/>
            <wp:docPr id="612856199"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44540" cy="466725"/>
                    </a:xfrm>
                    <a:prstGeom prst="rect">
                      <a:avLst/>
                    </a:prstGeom>
                    <a:noFill/>
                    <a:ln>
                      <a:noFill/>
                    </a:ln>
                  </pic:spPr>
                </pic:pic>
              </a:graphicData>
            </a:graphic>
          </wp:inline>
        </w:drawing>
      </w:r>
    </w:p>
    <w:p w14:paraId="034512B5" w14:textId="47D650CD" w:rsidR="007630E9" w:rsidRPr="00305AEB" w:rsidRDefault="007630E9" w:rsidP="00186726">
      <w:pPr>
        <w:tabs>
          <w:tab w:val="left" w:pos="709"/>
          <w:tab w:val="right" w:pos="8080"/>
        </w:tabs>
        <w:rPr>
          <w:rFonts w:cs="Tahoma"/>
          <w:szCs w:val="20"/>
        </w:rPr>
        <w:sectPr w:rsidR="007630E9" w:rsidRPr="00305AEB" w:rsidSect="00471E5B">
          <w:pgSz w:w="11906" w:h="16838" w:code="9"/>
          <w:pgMar w:top="1418" w:right="1418" w:bottom="510" w:left="1276" w:header="709" w:footer="567" w:gutter="0"/>
          <w:pgNumType w:chapStyle="1"/>
          <w:cols w:space="708"/>
          <w:titlePg/>
          <w:docGrid w:linePitch="360"/>
        </w:sectPr>
      </w:pPr>
    </w:p>
    <w:bookmarkStart w:id="121" w:name="_Toc161933183"/>
    <w:p w14:paraId="3874578D" w14:textId="495A945E" w:rsidR="008D15F0" w:rsidRPr="00E74279" w:rsidRDefault="00E22CE6" w:rsidP="00E74279">
      <w:pPr>
        <w:pStyle w:val="Titolo1"/>
      </w:pPr>
      <w:r w:rsidRPr="00186726">
        <w:rPr>
          <w:noProof/>
        </w:rPr>
        <w:lastRenderedPageBreak/>
        <mc:AlternateContent>
          <mc:Choice Requires="wps">
            <w:drawing>
              <wp:anchor distT="0" distB="0" distL="114300" distR="114300" simplePos="0" relativeHeight="251674112" behindDoc="0" locked="0" layoutInCell="1" allowOverlap="1" wp14:anchorId="1ED01592" wp14:editId="32FAA72D">
                <wp:simplePos x="0" y="0"/>
                <wp:positionH relativeFrom="margin">
                  <wp:align>center</wp:align>
                </wp:positionH>
                <wp:positionV relativeFrom="paragraph">
                  <wp:posOffset>280035</wp:posOffset>
                </wp:positionV>
                <wp:extent cx="2438400" cy="0"/>
                <wp:effectExtent l="0" t="0" r="0" b="0"/>
                <wp:wrapNone/>
                <wp:docPr id="2"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19050">
                          <a:solidFill>
                            <a:srgbClr val="40404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A9BC0C" id="AutoShape 120" o:spid="_x0000_s1026" type="#_x0000_t32" style="position:absolute;margin-left:0;margin-top:22.05pt;width:192pt;height:0;z-index:2516741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" strokecolor="#404040" strokeweight="1.5pt">
                <w10:wrap anchorx="margin"/>
              </v:shape>
            </w:pict>
          </mc:Fallback>
        </mc:AlternateContent>
      </w:r>
      <w:r w:rsidR="008D15F0" w:rsidRPr="00E74279">
        <w:t>6.</w:t>
      </w:r>
      <w:r w:rsidRPr="007177D8">
        <w:br/>
      </w:r>
      <w:r w:rsidR="008D15F0" w:rsidRPr="00186726">
        <w:t>Gli interessi e altri redditi di capitale</w:t>
      </w:r>
      <w:bookmarkEnd w:id="121"/>
    </w:p>
    <w:p w14:paraId="624F82E1" w14:textId="77777777" w:rsidR="008D15F0" w:rsidRPr="00305AEB" w:rsidRDefault="008D15F0" w:rsidP="00186726">
      <w:pPr>
        <w:rPr>
          <w:rFonts w:cs="Tahoma"/>
        </w:rPr>
      </w:pPr>
    </w:p>
    <w:p w14:paraId="1F5CD698" w14:textId="77777777" w:rsidR="008D15F0" w:rsidRPr="00305AEB" w:rsidRDefault="008D15F0" w:rsidP="00186726">
      <w:pPr>
        <w:rPr>
          <w:rFonts w:cs="Tahoma"/>
        </w:rPr>
      </w:pPr>
    </w:p>
    <w:p w14:paraId="47A14B6D" w14:textId="0BEB61F4" w:rsidR="008D15F0" w:rsidRPr="00305AEB" w:rsidRDefault="008D15F0" w:rsidP="00186726">
      <w:pPr>
        <w:rPr>
          <w:rFonts w:cs="Tahoma"/>
        </w:rPr>
      </w:pPr>
    </w:p>
    <w:p w14:paraId="601989F5" w14:textId="2D1A445C" w:rsidR="007630E9" w:rsidRPr="00305AEB" w:rsidRDefault="007630E9" w:rsidP="00186726">
      <w:pPr>
        <w:rPr>
          <w:rFonts w:cs="Tahoma"/>
        </w:rPr>
      </w:pPr>
    </w:p>
    <w:p w14:paraId="63BD4C3F" w14:textId="7022EA05" w:rsidR="007630E9" w:rsidRPr="00305AEB" w:rsidRDefault="007630E9" w:rsidP="00186726">
      <w:pPr>
        <w:rPr>
          <w:rFonts w:cs="Tahoma"/>
        </w:rPr>
      </w:pPr>
    </w:p>
    <w:p w14:paraId="3F8E95E5" w14:textId="77777777" w:rsidR="007630E9" w:rsidRPr="00305AEB" w:rsidRDefault="007630E9" w:rsidP="00186726">
      <w:pPr>
        <w:rPr>
          <w:rFonts w:cs="Tahoma"/>
        </w:rPr>
      </w:pPr>
    </w:p>
    <w:p w14:paraId="11D77602" w14:textId="77777777" w:rsidR="008D15F0" w:rsidRPr="00305AEB" w:rsidRDefault="008D15F0" w:rsidP="00186726">
      <w:pPr>
        <w:tabs>
          <w:tab w:val="left" w:pos="709"/>
          <w:tab w:val="right" w:pos="8080"/>
        </w:tabs>
        <w:rPr>
          <w:rFonts w:cs="Tahoma"/>
          <w:szCs w:val="20"/>
        </w:rPr>
      </w:pPr>
      <w:r w:rsidRPr="00305AEB">
        <w:rPr>
          <w:rFonts w:cs="Tahoma"/>
          <w:szCs w:val="20"/>
        </w:rPr>
        <w:t>Un’altra tipologia di redditi esteri che spesso ci troviamo ad affrontare in dichiarazione sono gli interessi ed altre tipologie di redditi di capitale.</w:t>
      </w:r>
    </w:p>
    <w:p w14:paraId="11D6E34D" w14:textId="77777777" w:rsidR="008D15F0" w:rsidRPr="00305AEB" w:rsidRDefault="008D15F0" w:rsidP="00186726">
      <w:pPr>
        <w:tabs>
          <w:tab w:val="left" w:pos="709"/>
          <w:tab w:val="right" w:pos="8080"/>
        </w:tabs>
        <w:rPr>
          <w:rFonts w:cs="Tahoma"/>
          <w:szCs w:val="20"/>
        </w:rPr>
      </w:pPr>
      <w:r w:rsidRPr="00305AEB">
        <w:rPr>
          <w:rFonts w:cs="Tahoma"/>
          <w:szCs w:val="20"/>
        </w:rPr>
        <w:t>Gli interessi in argomento sono potenzialmente soggetti a diversi tipi di norme:</w:t>
      </w:r>
    </w:p>
    <w:p w14:paraId="7BDAB9C4" w14:textId="77777777" w:rsidR="008D15F0" w:rsidRPr="00305AEB" w:rsidRDefault="008D15F0" w:rsidP="00186726">
      <w:pPr>
        <w:pStyle w:val="Paragrafoelenco"/>
        <w:numPr>
          <w:ilvl w:val="0"/>
          <w:numId w:val="62"/>
        </w:numPr>
        <w:tabs>
          <w:tab w:val="left" w:pos="709"/>
          <w:tab w:val="right" w:pos="8080"/>
        </w:tabs>
        <w:rPr>
          <w:rFonts w:cs="Tahoma"/>
          <w:szCs w:val="20"/>
        </w:rPr>
      </w:pPr>
      <w:r w:rsidRPr="00305AEB">
        <w:rPr>
          <w:rFonts w:cs="Tahoma"/>
          <w:szCs w:val="20"/>
        </w:rPr>
        <w:t>le norme italiane che assoggettano ad imposizione i proventi percepiti dai contribuenti residenti;</w:t>
      </w:r>
    </w:p>
    <w:p w14:paraId="11158845" w14:textId="77777777" w:rsidR="008D15F0" w:rsidRPr="00305AEB" w:rsidRDefault="008D15F0" w:rsidP="00186726">
      <w:pPr>
        <w:pStyle w:val="Paragrafoelenco"/>
        <w:numPr>
          <w:ilvl w:val="0"/>
          <w:numId w:val="62"/>
        </w:numPr>
        <w:tabs>
          <w:tab w:val="left" w:pos="709"/>
          <w:tab w:val="right" w:pos="8080"/>
        </w:tabs>
        <w:rPr>
          <w:rFonts w:cs="Tahoma"/>
          <w:szCs w:val="20"/>
        </w:rPr>
      </w:pPr>
      <w:r w:rsidRPr="00305AEB">
        <w:rPr>
          <w:rFonts w:cs="Tahoma"/>
          <w:szCs w:val="20"/>
        </w:rPr>
        <w:t>le norme interne dello Stato della fonte, che potrebbe applicare delle ritenute in uscita;</w:t>
      </w:r>
    </w:p>
    <w:p w14:paraId="0219807C" w14:textId="77777777" w:rsidR="008D15F0" w:rsidRPr="00305AEB" w:rsidRDefault="008D15F0" w:rsidP="00186726">
      <w:pPr>
        <w:pStyle w:val="Paragrafoelenco"/>
        <w:numPr>
          <w:ilvl w:val="0"/>
          <w:numId w:val="62"/>
        </w:numPr>
        <w:tabs>
          <w:tab w:val="left" w:pos="709"/>
          <w:tab w:val="right" w:pos="8080"/>
        </w:tabs>
        <w:rPr>
          <w:rFonts w:cs="Tahoma"/>
          <w:szCs w:val="20"/>
        </w:rPr>
      </w:pPr>
      <w:r w:rsidRPr="00305AEB">
        <w:rPr>
          <w:rFonts w:cs="Tahoma"/>
          <w:szCs w:val="20"/>
        </w:rPr>
        <w:t>le Convenzioni contro le doppie imposizioni tra lo Stato della fonte degli interessi e l’Italia;</w:t>
      </w:r>
    </w:p>
    <w:p w14:paraId="2762B81D" w14:textId="77777777" w:rsidR="008D15F0" w:rsidRPr="00305AEB" w:rsidRDefault="008D15F0" w:rsidP="00186726">
      <w:pPr>
        <w:tabs>
          <w:tab w:val="left" w:pos="709"/>
          <w:tab w:val="right" w:pos="8080"/>
        </w:tabs>
        <w:rPr>
          <w:rFonts w:cs="Tahoma"/>
          <w:szCs w:val="20"/>
        </w:rPr>
      </w:pPr>
      <w:r w:rsidRPr="00305AEB">
        <w:rPr>
          <w:rFonts w:cs="Tahoma"/>
          <w:szCs w:val="20"/>
        </w:rPr>
        <w:t>In applicazione al più volte citato art. 3 del TUIR, il sistema impositivo italiano prevede il principio della globalità del reddito prodotto per i soggetti residenti e, quindi, a prescindere dalla natura e dal luogo di produzione, tutti i redditi conseguiti da soggetti residenti in Italia devono essere assoggettati a tassazione.</w:t>
      </w:r>
    </w:p>
    <w:p w14:paraId="113E0AAE" w14:textId="77777777" w:rsidR="008D15F0" w:rsidRPr="00305AEB" w:rsidRDefault="008D15F0" w:rsidP="00186726">
      <w:pPr>
        <w:tabs>
          <w:tab w:val="left" w:pos="709"/>
          <w:tab w:val="right" w:pos="8080"/>
        </w:tabs>
        <w:rPr>
          <w:rFonts w:cs="Tahoma"/>
          <w:szCs w:val="20"/>
        </w:rPr>
      </w:pPr>
      <w:r w:rsidRPr="00305AEB">
        <w:rPr>
          <w:rFonts w:cs="Tahoma"/>
          <w:szCs w:val="20"/>
        </w:rPr>
        <w:t>Questo comporta che anche gli interessi e gli altri redditi di capitale di fonte estera percepiti dai soggetti fiscalmente residenti in Italia risultano ordinariamente imponibili in Italia.</w:t>
      </w:r>
    </w:p>
    <w:p w14:paraId="142C6D09" w14:textId="77777777" w:rsidR="0069364A" w:rsidRPr="00305AEB" w:rsidRDefault="0069364A" w:rsidP="00186726">
      <w:pPr>
        <w:pStyle w:val="Sottotitolo"/>
        <w:rPr>
          <w:rFonts w:cs="Tahoma"/>
          <w:spacing w:val="0"/>
        </w:rPr>
      </w:pPr>
    </w:p>
    <w:p w14:paraId="075FB21D" w14:textId="77777777" w:rsidR="008D15F0" w:rsidRPr="00305AEB" w:rsidRDefault="008D15F0" w:rsidP="00186726">
      <w:pPr>
        <w:pStyle w:val="Sottotitolo"/>
        <w:rPr>
          <w:rFonts w:cs="Tahoma"/>
          <w:spacing w:val="0"/>
        </w:rPr>
      </w:pPr>
      <w:bookmarkStart w:id="122" w:name="_Toc161933184"/>
      <w:r w:rsidRPr="00305AEB">
        <w:rPr>
          <w:rFonts w:cs="Tahoma"/>
          <w:spacing w:val="0"/>
        </w:rPr>
        <w:t>6.1 Imposizione sui redditi di fonte estera</w:t>
      </w:r>
      <w:bookmarkEnd w:id="122"/>
      <w:r w:rsidRPr="00305AEB">
        <w:rPr>
          <w:rFonts w:cs="Tahoma"/>
          <w:spacing w:val="0"/>
        </w:rPr>
        <w:t xml:space="preserve"> </w:t>
      </w:r>
    </w:p>
    <w:p w14:paraId="7D40ACB7" w14:textId="77777777" w:rsidR="008D15F0" w:rsidRPr="00305AEB" w:rsidRDefault="008D15F0" w:rsidP="00186726">
      <w:pPr>
        <w:tabs>
          <w:tab w:val="left" w:pos="709"/>
          <w:tab w:val="right" w:pos="8080"/>
        </w:tabs>
        <w:rPr>
          <w:rFonts w:cs="Tahoma"/>
          <w:szCs w:val="20"/>
        </w:rPr>
      </w:pPr>
      <w:r w:rsidRPr="00305AEB">
        <w:rPr>
          <w:rFonts w:cs="Tahoma"/>
          <w:szCs w:val="20"/>
        </w:rPr>
        <w:t>Gli interessi e gli altri redditi di capitale sono generalmente soggetti ad un prelievo alla fonte o ad imposizione sostitutiva che ordinariamente è prevista nella misura del 26%</w:t>
      </w:r>
      <w:r w:rsidRPr="00305AEB">
        <w:rPr>
          <w:rStyle w:val="Rimandonotaapidipagina"/>
          <w:rFonts w:cs="Tahoma"/>
        </w:rPr>
        <w:footnoteReference w:id="2"/>
      </w:r>
      <w:r w:rsidRPr="00305AEB">
        <w:rPr>
          <w:rFonts w:cs="Tahoma"/>
          <w:szCs w:val="20"/>
        </w:rPr>
        <w:t>.</w:t>
      </w:r>
    </w:p>
    <w:p w14:paraId="352EF2CD" w14:textId="77777777" w:rsidR="008D15F0" w:rsidRPr="00305AEB" w:rsidRDefault="008D15F0" w:rsidP="00186726">
      <w:pPr>
        <w:tabs>
          <w:tab w:val="left" w:pos="709"/>
          <w:tab w:val="right" w:pos="8080"/>
        </w:tabs>
        <w:rPr>
          <w:rFonts w:cs="Tahoma"/>
          <w:szCs w:val="20"/>
        </w:rPr>
      </w:pPr>
      <w:r w:rsidRPr="00305AEB">
        <w:rPr>
          <w:rFonts w:cs="Tahoma"/>
          <w:szCs w:val="20"/>
        </w:rPr>
        <w:lastRenderedPageBreak/>
        <w:t xml:space="preserve">Le norme che disciplinano il regime fiscale degli interessi di fonte estera prevedono l’applicazione di un “prelievo sostitutivo” da parte del sostituto di imposta che interviene nella riscossione in Italia di redditi di capitale diversi dai dividendi. </w:t>
      </w:r>
    </w:p>
    <w:p w14:paraId="652561EF" w14:textId="77777777" w:rsidR="008D15F0" w:rsidRPr="00305AEB" w:rsidRDefault="008D15F0" w:rsidP="00186726">
      <w:pPr>
        <w:tabs>
          <w:tab w:val="left" w:pos="709"/>
          <w:tab w:val="right" w:pos="8080"/>
        </w:tabs>
        <w:rPr>
          <w:rFonts w:cs="Tahoma"/>
          <w:szCs w:val="20"/>
        </w:rPr>
      </w:pPr>
      <w:r w:rsidRPr="00305AEB">
        <w:rPr>
          <w:rFonts w:cs="Tahoma"/>
          <w:szCs w:val="20"/>
        </w:rPr>
        <w:t>Tuttavia, esso può essere operato solo sulle seguenti categorie di reddito:</w:t>
      </w:r>
    </w:p>
    <w:p w14:paraId="662B0841" w14:textId="77777777" w:rsidR="008D15F0" w:rsidRPr="00305AEB" w:rsidRDefault="008D15F0" w:rsidP="00186726">
      <w:pPr>
        <w:numPr>
          <w:ilvl w:val="1"/>
          <w:numId w:val="63"/>
        </w:numPr>
        <w:tabs>
          <w:tab w:val="clear" w:pos="1440"/>
          <w:tab w:val="left" w:pos="709"/>
          <w:tab w:val="num" w:pos="1134"/>
          <w:tab w:val="right" w:pos="8080"/>
        </w:tabs>
        <w:ind w:left="709" w:hanging="357"/>
        <w:contextualSpacing/>
        <w:rPr>
          <w:rFonts w:cs="Tahoma"/>
          <w:szCs w:val="20"/>
        </w:rPr>
      </w:pPr>
      <w:r w:rsidRPr="00305AEB">
        <w:rPr>
          <w:rFonts w:cs="Tahoma"/>
          <w:bCs/>
          <w:szCs w:val="20"/>
        </w:rPr>
        <w:t>Interessi ed altri proventi su obbligazioni e titoli similari emessi da non residenti;</w:t>
      </w:r>
    </w:p>
    <w:p w14:paraId="1BE89E2D" w14:textId="77777777" w:rsidR="008D15F0" w:rsidRPr="00305AEB" w:rsidRDefault="008D15F0" w:rsidP="00186726">
      <w:pPr>
        <w:numPr>
          <w:ilvl w:val="1"/>
          <w:numId w:val="63"/>
        </w:numPr>
        <w:tabs>
          <w:tab w:val="clear" w:pos="1440"/>
          <w:tab w:val="left" w:pos="709"/>
          <w:tab w:val="num" w:pos="1134"/>
          <w:tab w:val="right" w:pos="8080"/>
        </w:tabs>
        <w:ind w:left="709" w:hanging="357"/>
        <w:contextualSpacing/>
        <w:rPr>
          <w:rFonts w:cs="Tahoma"/>
          <w:szCs w:val="20"/>
        </w:rPr>
      </w:pPr>
      <w:r w:rsidRPr="00305AEB">
        <w:rPr>
          <w:rFonts w:cs="Tahoma"/>
          <w:bCs/>
          <w:szCs w:val="20"/>
        </w:rPr>
        <w:t>Interessi ed altri proventi da titoli pubblici italiani emessi all’estero a partire dal 10.9.92;</w:t>
      </w:r>
    </w:p>
    <w:p w14:paraId="4608E1CA" w14:textId="77777777" w:rsidR="008D15F0" w:rsidRPr="00305AEB" w:rsidRDefault="008D15F0" w:rsidP="00186726">
      <w:pPr>
        <w:numPr>
          <w:ilvl w:val="1"/>
          <w:numId w:val="63"/>
        </w:numPr>
        <w:tabs>
          <w:tab w:val="clear" w:pos="1440"/>
          <w:tab w:val="left" w:pos="709"/>
          <w:tab w:val="num" w:pos="1134"/>
          <w:tab w:val="right" w:pos="8080"/>
        </w:tabs>
        <w:ind w:left="709" w:hanging="357"/>
        <w:contextualSpacing/>
        <w:rPr>
          <w:rFonts w:cs="Tahoma"/>
          <w:szCs w:val="20"/>
        </w:rPr>
      </w:pPr>
      <w:r w:rsidRPr="00305AEB">
        <w:rPr>
          <w:rFonts w:cs="Tahoma"/>
          <w:bCs/>
          <w:szCs w:val="20"/>
        </w:rPr>
        <w:t>Interessi ed altri proventi dei depositi e conti correnti bancari e postali presso enti non residenti;</w:t>
      </w:r>
    </w:p>
    <w:p w14:paraId="5DCADA1F" w14:textId="77777777" w:rsidR="008D15F0" w:rsidRPr="00305AEB" w:rsidRDefault="008D15F0" w:rsidP="00186726">
      <w:pPr>
        <w:numPr>
          <w:ilvl w:val="1"/>
          <w:numId w:val="63"/>
        </w:numPr>
        <w:tabs>
          <w:tab w:val="clear" w:pos="1440"/>
          <w:tab w:val="left" w:pos="709"/>
          <w:tab w:val="num" w:pos="1134"/>
          <w:tab w:val="right" w:pos="8080"/>
        </w:tabs>
        <w:ind w:left="709" w:hanging="357"/>
        <w:contextualSpacing/>
        <w:rPr>
          <w:rFonts w:cs="Tahoma"/>
          <w:szCs w:val="20"/>
        </w:rPr>
      </w:pPr>
      <w:r w:rsidRPr="00305AEB">
        <w:rPr>
          <w:rFonts w:cs="Tahoma"/>
          <w:bCs/>
          <w:szCs w:val="20"/>
        </w:rPr>
        <w:t>Proventi delle operazioni di pronti contro termine o riporto di titoli e valute con controparti non residenti;</w:t>
      </w:r>
    </w:p>
    <w:p w14:paraId="4A1ECC00" w14:textId="77777777" w:rsidR="008D15F0" w:rsidRPr="00305AEB" w:rsidRDefault="008D15F0" w:rsidP="00186726">
      <w:pPr>
        <w:numPr>
          <w:ilvl w:val="1"/>
          <w:numId w:val="63"/>
        </w:numPr>
        <w:tabs>
          <w:tab w:val="clear" w:pos="1440"/>
          <w:tab w:val="left" w:pos="709"/>
          <w:tab w:val="num" w:pos="1134"/>
          <w:tab w:val="right" w:pos="8080"/>
        </w:tabs>
        <w:ind w:left="709" w:hanging="357"/>
        <w:contextualSpacing/>
        <w:rPr>
          <w:rFonts w:cs="Tahoma"/>
          <w:szCs w:val="20"/>
        </w:rPr>
      </w:pPr>
      <w:r w:rsidRPr="00305AEB">
        <w:rPr>
          <w:rFonts w:cs="Tahoma"/>
          <w:bCs/>
          <w:szCs w:val="20"/>
        </w:rPr>
        <w:t>Proventi delle operazioni di mutuo titoli garantito con controparti non residenti;</w:t>
      </w:r>
    </w:p>
    <w:p w14:paraId="1A84F5B1" w14:textId="77777777" w:rsidR="008D15F0" w:rsidRPr="00305AEB" w:rsidRDefault="008D15F0" w:rsidP="00186726">
      <w:pPr>
        <w:numPr>
          <w:ilvl w:val="1"/>
          <w:numId w:val="63"/>
        </w:numPr>
        <w:tabs>
          <w:tab w:val="clear" w:pos="1440"/>
          <w:tab w:val="left" w:pos="709"/>
          <w:tab w:val="num" w:pos="1134"/>
          <w:tab w:val="right" w:pos="8080"/>
        </w:tabs>
        <w:ind w:left="709"/>
        <w:rPr>
          <w:rFonts w:cs="Tahoma"/>
          <w:szCs w:val="20"/>
        </w:rPr>
      </w:pPr>
      <w:r w:rsidRPr="00305AEB">
        <w:rPr>
          <w:rFonts w:cs="Tahoma"/>
          <w:bCs/>
          <w:szCs w:val="20"/>
        </w:rPr>
        <w:t>Proventi derivanti dalla partecipazione ad OICVM di diritto estero.</w:t>
      </w:r>
    </w:p>
    <w:p w14:paraId="79D24B08" w14:textId="77777777" w:rsidR="008D15F0" w:rsidRPr="00305AEB" w:rsidRDefault="008D15F0" w:rsidP="00186726">
      <w:pPr>
        <w:tabs>
          <w:tab w:val="left" w:pos="709"/>
          <w:tab w:val="right" w:pos="8080"/>
        </w:tabs>
        <w:rPr>
          <w:rFonts w:cs="Tahoma"/>
          <w:szCs w:val="20"/>
        </w:rPr>
      </w:pPr>
      <w:r w:rsidRPr="00305AEB">
        <w:rPr>
          <w:rFonts w:cs="Tahoma"/>
          <w:szCs w:val="20"/>
        </w:rPr>
        <w:t>Come detto, sui redditi sopracitati è prevista l’applicazione del prelievo a titolo di imposta in ingresso nella misura del 26% coerentemente con l’aliquota di ritenuta individuata per i proventi derivanti dal medesimo tipo di strumenti finanziari domestici.</w:t>
      </w:r>
    </w:p>
    <w:p w14:paraId="139579E7" w14:textId="77777777" w:rsidR="008D15F0" w:rsidRPr="00305AEB" w:rsidRDefault="008D15F0" w:rsidP="00186726">
      <w:pPr>
        <w:tabs>
          <w:tab w:val="left" w:pos="709"/>
          <w:tab w:val="right" w:pos="8080"/>
        </w:tabs>
        <w:rPr>
          <w:rFonts w:cs="Tahoma"/>
          <w:szCs w:val="20"/>
        </w:rPr>
      </w:pPr>
      <w:r w:rsidRPr="00305AEB">
        <w:rPr>
          <w:rFonts w:cs="Tahoma"/>
          <w:szCs w:val="20"/>
        </w:rPr>
        <w:t>Si segnala che altri redditi di capitale diversi da quelli sopracitati devono concorrere integralmente alla formazione del reddito imponibile del percipiente. In tal caso, le eventuali ritenute operate si considerano applicate a titolo di acconto.</w:t>
      </w:r>
    </w:p>
    <w:p w14:paraId="68726077" w14:textId="77777777" w:rsidR="008D15F0" w:rsidRPr="00305AEB" w:rsidRDefault="008D15F0" w:rsidP="00186726">
      <w:pPr>
        <w:tabs>
          <w:tab w:val="left" w:pos="709"/>
          <w:tab w:val="right" w:pos="8080"/>
        </w:tabs>
        <w:rPr>
          <w:rFonts w:cs="Tahoma"/>
          <w:szCs w:val="20"/>
        </w:rPr>
      </w:pPr>
      <w:r w:rsidRPr="00305AEB">
        <w:rPr>
          <w:rFonts w:cs="Tahoma"/>
          <w:szCs w:val="20"/>
        </w:rPr>
        <w:t>Quando i redditi sono percepiti direttamente all’estero senza l’intervento di un sostituto d’imposta residente, da parte di un soggetto nei cui confronti la ritenuta stessa si applica a titolo d’imposta (come ad esempio le persone fisiche non imprenditori), tali proventi vanno assoggettati, in sede di dichiarazione dei redditi, all’imposta sostitutiva delle imposte sui redditi prevista dall’art. 18 del TUIR, con la stessa aliquota che si sarebbe resa applicabile nel caso di applicazione della ritenuta a titolo d’imposta.</w:t>
      </w:r>
    </w:p>
    <w:p w14:paraId="06EBB55D" w14:textId="77777777" w:rsidR="0069364A" w:rsidRPr="00305AEB" w:rsidRDefault="0069364A" w:rsidP="00186726">
      <w:pPr>
        <w:tabs>
          <w:tab w:val="left" w:pos="709"/>
          <w:tab w:val="right" w:pos="8080"/>
        </w:tabs>
        <w:rPr>
          <w:rFonts w:cs="Tahoma"/>
          <w:szCs w:val="20"/>
        </w:rPr>
      </w:pPr>
    </w:p>
    <w:p w14:paraId="1B995521" w14:textId="77777777" w:rsidR="008D15F0" w:rsidRPr="00305AEB" w:rsidRDefault="008D15F0" w:rsidP="00186726">
      <w:pPr>
        <w:pStyle w:val="Sottotitolo"/>
        <w:rPr>
          <w:rFonts w:cs="Tahoma"/>
          <w:spacing w:val="0"/>
        </w:rPr>
      </w:pPr>
      <w:bookmarkStart w:id="123" w:name="_Toc161933185"/>
      <w:r w:rsidRPr="00305AEB">
        <w:rPr>
          <w:rFonts w:cs="Tahoma"/>
          <w:spacing w:val="0"/>
        </w:rPr>
        <w:t>6.2 Credito per le imposte pagate all’estero</w:t>
      </w:r>
      <w:bookmarkEnd w:id="123"/>
    </w:p>
    <w:p w14:paraId="64638A22" w14:textId="77777777" w:rsidR="008D15F0" w:rsidRPr="00305AEB" w:rsidRDefault="008D15F0" w:rsidP="00186726">
      <w:pPr>
        <w:tabs>
          <w:tab w:val="left" w:pos="7371"/>
          <w:tab w:val="right" w:pos="8080"/>
        </w:tabs>
        <w:rPr>
          <w:rFonts w:cs="Tahoma"/>
          <w:szCs w:val="20"/>
        </w:rPr>
      </w:pPr>
      <w:r w:rsidRPr="00305AEB">
        <w:rPr>
          <w:rFonts w:cs="Tahoma"/>
          <w:szCs w:val="20"/>
        </w:rPr>
        <w:t>Se alla formazione del reddito complessivo del socio concorrono i redditi prodotti all'estero, si riconosce un credito per le imposte pagate all’estero, ai sensi dell'art. 165, comma 1 del TUIR.</w:t>
      </w:r>
    </w:p>
    <w:p w14:paraId="59B72E90" w14:textId="77777777" w:rsidR="008D15F0" w:rsidRPr="00305AEB" w:rsidRDefault="008D15F0" w:rsidP="00186726">
      <w:pPr>
        <w:tabs>
          <w:tab w:val="left" w:pos="7371"/>
          <w:tab w:val="right" w:pos="8080"/>
        </w:tabs>
        <w:rPr>
          <w:rFonts w:cs="Tahoma"/>
          <w:szCs w:val="20"/>
        </w:rPr>
      </w:pPr>
      <w:r w:rsidRPr="00305AEB">
        <w:rPr>
          <w:rFonts w:cs="Tahoma"/>
          <w:szCs w:val="20"/>
        </w:rPr>
        <w:t>Tuttavia, tale disposizione si applica soltanto per quegli interessi che non sono assoggettati a ritenuta a titolo di imposta o ad imposta sostitutiva.</w:t>
      </w:r>
    </w:p>
    <w:p w14:paraId="63823FF3" w14:textId="77777777" w:rsidR="008D15F0" w:rsidRPr="00305AEB" w:rsidRDefault="008D15F0" w:rsidP="00186726">
      <w:pPr>
        <w:tabs>
          <w:tab w:val="left" w:pos="7371"/>
          <w:tab w:val="right" w:pos="8080"/>
        </w:tabs>
        <w:rPr>
          <w:rFonts w:cs="Tahoma"/>
          <w:szCs w:val="20"/>
        </w:rPr>
      </w:pPr>
      <w:r w:rsidRPr="00305AEB">
        <w:rPr>
          <w:rFonts w:cs="Tahoma"/>
          <w:szCs w:val="20"/>
        </w:rPr>
        <w:t>Per gli interessi che non concorrono alla formazione della base imponibile IRPEF, infatti, non compete il credito per le imposte pagate all’estero.</w:t>
      </w:r>
    </w:p>
    <w:p w14:paraId="17D82FEF" w14:textId="77777777" w:rsidR="008D15F0" w:rsidRPr="00305AEB" w:rsidRDefault="008D15F0" w:rsidP="00186726">
      <w:pPr>
        <w:pStyle w:val="Sottotitolo"/>
        <w:rPr>
          <w:rFonts w:cs="Tahoma"/>
          <w:spacing w:val="0"/>
        </w:rPr>
      </w:pPr>
      <w:bookmarkStart w:id="124" w:name="_Toc161933186"/>
      <w:r w:rsidRPr="00305AEB">
        <w:rPr>
          <w:rFonts w:cs="Tahoma"/>
          <w:spacing w:val="0"/>
        </w:rPr>
        <w:lastRenderedPageBreak/>
        <w:t>6.3 Convenzioni contro le doppie imposizioni</w:t>
      </w:r>
      <w:bookmarkEnd w:id="124"/>
      <w:r w:rsidRPr="00305AEB">
        <w:rPr>
          <w:rFonts w:cs="Tahoma"/>
          <w:spacing w:val="0"/>
        </w:rPr>
        <w:t xml:space="preserve"> </w:t>
      </w:r>
    </w:p>
    <w:p w14:paraId="5BB3A396" w14:textId="77777777" w:rsidR="008D15F0" w:rsidRPr="00305AEB" w:rsidRDefault="008D15F0" w:rsidP="00186726">
      <w:pPr>
        <w:tabs>
          <w:tab w:val="left" w:pos="7371"/>
          <w:tab w:val="right" w:pos="8080"/>
        </w:tabs>
        <w:rPr>
          <w:rFonts w:cs="Tahoma"/>
          <w:szCs w:val="20"/>
        </w:rPr>
      </w:pPr>
      <w:r w:rsidRPr="00305AEB">
        <w:rPr>
          <w:rFonts w:cs="Tahoma"/>
          <w:szCs w:val="20"/>
        </w:rPr>
        <w:t>L’art. 11 delle Convenzioni internazionali contro le doppie imposizioni stipulate dall’Italia (conforme allo schema generale del modello OCSE) prevede che gli interessi provenienti da uno Stato Contraente e pagati ad un residente nell’altro Stato Contraente sono imponibili in detto altro Stato, attribuendo quindi una potestà impositiva concorrente sugli interessi transnazionali sia allo Stato della fonte sia allo Stato della residenza del percettore degli interessi transnazionali.</w:t>
      </w:r>
    </w:p>
    <w:p w14:paraId="1597A170" w14:textId="77777777" w:rsidR="008D15F0" w:rsidRPr="00305AEB" w:rsidRDefault="008D15F0" w:rsidP="00186726">
      <w:pPr>
        <w:tabs>
          <w:tab w:val="left" w:pos="7371"/>
          <w:tab w:val="right" w:pos="8080"/>
        </w:tabs>
        <w:rPr>
          <w:rFonts w:cs="Tahoma"/>
          <w:szCs w:val="20"/>
        </w:rPr>
      </w:pPr>
      <w:r w:rsidRPr="00305AEB">
        <w:rPr>
          <w:rFonts w:cs="Tahoma"/>
          <w:szCs w:val="20"/>
        </w:rPr>
        <w:t>Il paragrafo 6 del Commentario OCSE all'art. 11 precisa che l'articolo in oggetto non è applicabile agli interessi:</w:t>
      </w:r>
    </w:p>
    <w:p w14:paraId="75190766" w14:textId="77777777" w:rsidR="008D15F0" w:rsidRPr="00305AEB" w:rsidRDefault="008D15F0" w:rsidP="00186726">
      <w:pPr>
        <w:pStyle w:val="Paragrafoelenco"/>
        <w:numPr>
          <w:ilvl w:val="0"/>
          <w:numId w:val="64"/>
        </w:numPr>
        <w:tabs>
          <w:tab w:val="left" w:pos="7371"/>
          <w:tab w:val="right" w:pos="8080"/>
        </w:tabs>
        <w:rPr>
          <w:rFonts w:cs="Tahoma"/>
          <w:szCs w:val="20"/>
        </w:rPr>
      </w:pPr>
      <w:r w:rsidRPr="00305AEB">
        <w:rPr>
          <w:rFonts w:cs="Tahoma"/>
          <w:szCs w:val="20"/>
        </w:rPr>
        <w:t>maturati in un terzo Stato diverso dai due Stati contraenti;</w:t>
      </w:r>
    </w:p>
    <w:p w14:paraId="5C3DB95B" w14:textId="77777777" w:rsidR="008D15F0" w:rsidRPr="00305AEB" w:rsidRDefault="008D15F0" w:rsidP="00186726">
      <w:pPr>
        <w:pStyle w:val="Paragrafoelenco"/>
        <w:numPr>
          <w:ilvl w:val="0"/>
          <w:numId w:val="64"/>
        </w:numPr>
        <w:tabs>
          <w:tab w:val="left" w:pos="7371"/>
          <w:tab w:val="right" w:pos="8080"/>
        </w:tabs>
        <w:rPr>
          <w:rFonts w:cs="Tahoma"/>
          <w:szCs w:val="20"/>
        </w:rPr>
      </w:pPr>
      <w:r w:rsidRPr="00305AEB">
        <w:rPr>
          <w:rFonts w:cs="Tahoma"/>
          <w:szCs w:val="20"/>
        </w:rPr>
        <w:t>maturati in uno Stato contraente, ma attribuibili ad una stabile organizzazione dell'altro Stato contraente.</w:t>
      </w:r>
    </w:p>
    <w:p w14:paraId="46FCC814" w14:textId="77777777" w:rsidR="008D15F0" w:rsidRPr="00305AEB" w:rsidRDefault="008D15F0" w:rsidP="00186726">
      <w:pPr>
        <w:tabs>
          <w:tab w:val="left" w:pos="7371"/>
          <w:tab w:val="right" w:pos="8080"/>
        </w:tabs>
        <w:rPr>
          <w:rFonts w:cs="Tahoma"/>
          <w:szCs w:val="20"/>
        </w:rPr>
      </w:pPr>
      <w:r w:rsidRPr="00305AEB">
        <w:rPr>
          <w:rFonts w:cs="Tahoma"/>
          <w:szCs w:val="20"/>
        </w:rPr>
        <w:t xml:space="preserve">A tal riguardo l'art. 11, paragrafo 5, stabilisce che gli interessi transnazionali si considerano provenienti da uno Stato contraente quando il debitore è lo Stato stesso, una sua suddivisione politica, un'autorità locale o un residente di detto Stato. </w:t>
      </w:r>
    </w:p>
    <w:p w14:paraId="6A946FF2" w14:textId="77777777" w:rsidR="008D15F0" w:rsidRPr="00305AEB" w:rsidRDefault="008D15F0" w:rsidP="00186726">
      <w:pPr>
        <w:tabs>
          <w:tab w:val="left" w:pos="7371"/>
          <w:tab w:val="right" w:pos="8080"/>
        </w:tabs>
        <w:rPr>
          <w:rFonts w:cs="Tahoma"/>
          <w:szCs w:val="20"/>
        </w:rPr>
      </w:pPr>
      <w:r w:rsidRPr="00305AEB">
        <w:rPr>
          <w:rFonts w:cs="Tahoma"/>
          <w:szCs w:val="20"/>
        </w:rPr>
        <w:t>Tuttavia, quando il debitore degli interessi, sia esso residente o no in uno Stato contraente, ha in uno Stato contraente una stabile organizzazione o una base fissa per le cui necessità viene contratto un debito sul quale sono pagati gli interessi e tali interessi sono a carico della stabile organizzazione o base fissa, gli interessi stessi si considerano provenienti dallo Stato contraente in cui è situata la stabile organizzazione o la base fissa.</w:t>
      </w:r>
    </w:p>
    <w:p w14:paraId="5B977818" w14:textId="77777777" w:rsidR="008D15F0" w:rsidRPr="00305AEB" w:rsidRDefault="008D15F0" w:rsidP="00186726">
      <w:pPr>
        <w:tabs>
          <w:tab w:val="left" w:pos="7371"/>
          <w:tab w:val="right" w:pos="8080"/>
        </w:tabs>
        <w:rPr>
          <w:rFonts w:cs="Tahoma"/>
          <w:szCs w:val="20"/>
        </w:rPr>
      </w:pPr>
      <w:r w:rsidRPr="00305AEB">
        <w:rPr>
          <w:rFonts w:cs="Tahoma"/>
          <w:szCs w:val="20"/>
        </w:rPr>
        <w:t>Si tenga presente che nella generalità dei casi, le Convenzioni internazionali contro le doppie imposizioni stipulate dall'Italia prevedono un'attenuazione del prelievo alla fonte sugli interessi erogati a un soggetto residente nell'altro Stato che ne sia il beneficiario effettivo.</w:t>
      </w:r>
    </w:p>
    <w:p w14:paraId="5CE7211C" w14:textId="77777777" w:rsidR="008D15F0" w:rsidRPr="00305AEB" w:rsidRDefault="008D15F0" w:rsidP="00186726">
      <w:pPr>
        <w:tabs>
          <w:tab w:val="left" w:pos="7371"/>
          <w:tab w:val="right" w:pos="8080"/>
        </w:tabs>
        <w:rPr>
          <w:rFonts w:cs="Tahoma"/>
          <w:szCs w:val="20"/>
        </w:rPr>
      </w:pPr>
      <w:r w:rsidRPr="00305AEB">
        <w:rPr>
          <w:rFonts w:cs="Tahoma"/>
          <w:szCs w:val="20"/>
        </w:rPr>
        <w:t>Rimandando ai singoli trattati per l'analisi delle singole pattuizioni, si rileva comunque che le ritenute applicabili sono generalmente ridotte al 10%, percentuale conforme a quanto stabilito dall'art. 11 del modello OCSE di Convenzioni internazionali.</w:t>
      </w:r>
    </w:p>
    <w:p w14:paraId="29EE1AB2" w14:textId="77777777" w:rsidR="0069364A" w:rsidRPr="00305AEB" w:rsidRDefault="0069364A" w:rsidP="00186726">
      <w:pPr>
        <w:pStyle w:val="Sottotitolo"/>
        <w:rPr>
          <w:rFonts w:cs="Tahoma"/>
          <w:spacing w:val="0"/>
        </w:rPr>
      </w:pPr>
    </w:p>
    <w:p w14:paraId="2E82EB3E" w14:textId="77777777" w:rsidR="008D15F0" w:rsidRPr="00305AEB" w:rsidRDefault="008D15F0" w:rsidP="00186726">
      <w:pPr>
        <w:pStyle w:val="Sottotitolo"/>
        <w:rPr>
          <w:rFonts w:cs="Tahoma"/>
          <w:spacing w:val="0"/>
        </w:rPr>
      </w:pPr>
      <w:bookmarkStart w:id="125" w:name="_Toc161933187"/>
      <w:r w:rsidRPr="00305AEB">
        <w:rPr>
          <w:rFonts w:cs="Tahoma"/>
          <w:spacing w:val="0"/>
        </w:rPr>
        <w:t>6.4 Indicazione in dichiarazione</w:t>
      </w:r>
      <w:bookmarkEnd w:id="125"/>
      <w:r w:rsidRPr="00305AEB">
        <w:rPr>
          <w:rFonts w:cs="Tahoma"/>
          <w:spacing w:val="0"/>
        </w:rPr>
        <w:t xml:space="preserve"> </w:t>
      </w:r>
    </w:p>
    <w:p w14:paraId="462765F2" w14:textId="03E6B5F2" w:rsidR="007630E9" w:rsidRDefault="008D15F0" w:rsidP="005923A1">
      <w:pPr>
        <w:tabs>
          <w:tab w:val="left" w:pos="709"/>
          <w:tab w:val="right" w:pos="8080"/>
        </w:tabs>
        <w:rPr>
          <w:rFonts w:cs="Tahoma"/>
          <w:szCs w:val="20"/>
        </w:rPr>
      </w:pPr>
      <w:r w:rsidRPr="00305AEB">
        <w:rPr>
          <w:rFonts w:cs="Tahoma"/>
          <w:szCs w:val="20"/>
        </w:rPr>
        <w:t xml:space="preserve">Come detto, quando i redditi sono percepiti direttamente all’estero senza l’intervento di un sostituto d’imposta residente, da parte di un soggetto nei cui confronti la ritenuta stessa si applica a titolo d’imposta, tali proventi vanno assoggettati, in sede di dichiarazione dei redditi, all’imposta sostitutiva delle </w:t>
      </w:r>
      <w:r w:rsidRPr="00305AEB">
        <w:rPr>
          <w:rFonts w:cs="Tahoma"/>
          <w:szCs w:val="20"/>
        </w:rPr>
        <w:lastRenderedPageBreak/>
        <w:t>imposte sui redditi prevista dall’art. 18 del TUIR, con la stessa aliquota che si sarebbe resa applicabile nel caso di applicazione della ritenuta a titolo d’imposta.</w:t>
      </w:r>
    </w:p>
    <w:p w14:paraId="5289FEAB" w14:textId="77777777" w:rsidR="00E1170B" w:rsidRPr="005923A1" w:rsidRDefault="00E1170B" w:rsidP="005923A1">
      <w:pPr>
        <w:tabs>
          <w:tab w:val="left" w:pos="709"/>
          <w:tab w:val="right" w:pos="8080"/>
        </w:tabs>
        <w:rPr>
          <w:rFonts w:cs="Tahoma"/>
          <w:szCs w:val="20"/>
        </w:rPr>
      </w:pPr>
    </w:p>
    <w:p w14:paraId="27706A3B" w14:textId="53B4477D" w:rsidR="008D15F0" w:rsidRPr="00305AEB" w:rsidRDefault="008D15F0" w:rsidP="00186726">
      <w:pPr>
        <w:pStyle w:val="NUOVOSOTTOPARAGRAFO"/>
        <w:rPr>
          <w:rFonts w:cs="Tahoma"/>
        </w:rPr>
      </w:pPr>
      <w:bookmarkStart w:id="126" w:name="_Toc161933188"/>
      <w:r w:rsidRPr="00305AEB">
        <w:rPr>
          <w:rFonts w:cs="Tahoma"/>
        </w:rPr>
        <w:t>6.4.1 Interessi di conto corrente</w:t>
      </w:r>
      <w:bookmarkEnd w:id="126"/>
    </w:p>
    <w:p w14:paraId="1EA82EB4" w14:textId="06BC159E" w:rsidR="008D15F0" w:rsidRPr="00305AEB" w:rsidRDefault="008D15F0" w:rsidP="00186726">
      <w:pPr>
        <w:tabs>
          <w:tab w:val="left" w:pos="709"/>
          <w:tab w:val="right" w:pos="8080"/>
        </w:tabs>
        <w:rPr>
          <w:rFonts w:cs="Tahoma"/>
          <w:szCs w:val="20"/>
        </w:rPr>
      </w:pPr>
      <w:r w:rsidRPr="00305AEB">
        <w:rPr>
          <w:rFonts w:cs="Tahoma"/>
          <w:bCs/>
          <w:szCs w:val="20"/>
        </w:rPr>
        <w:t>Una persona fisica detiene un conto corrente in Francia.</w:t>
      </w:r>
      <w:r w:rsidRPr="00305AEB">
        <w:rPr>
          <w:rFonts w:cs="Tahoma"/>
          <w:szCs w:val="20"/>
        </w:rPr>
        <w:t xml:space="preserve"> </w:t>
      </w:r>
      <w:r w:rsidRPr="00305AEB">
        <w:rPr>
          <w:rFonts w:cs="Tahoma"/>
          <w:bCs/>
          <w:szCs w:val="20"/>
        </w:rPr>
        <w:t xml:space="preserve">Tale conto corrente ha generato interessi attivi per </w:t>
      </w:r>
      <w:proofErr w:type="gramStart"/>
      <w:r w:rsidRPr="00305AEB">
        <w:rPr>
          <w:rFonts w:cs="Tahoma"/>
          <w:bCs/>
          <w:szCs w:val="20"/>
        </w:rPr>
        <w:t>Euro</w:t>
      </w:r>
      <w:proofErr w:type="gramEnd"/>
      <w:r w:rsidRPr="00305AEB">
        <w:rPr>
          <w:rFonts w:cs="Tahoma"/>
          <w:bCs/>
          <w:szCs w:val="20"/>
        </w:rPr>
        <w:t xml:space="preserve"> 250 nel </w:t>
      </w:r>
      <w:r w:rsidR="009832E0" w:rsidRPr="00305AEB">
        <w:rPr>
          <w:rFonts w:cs="Tahoma"/>
          <w:bCs/>
          <w:szCs w:val="20"/>
        </w:rPr>
        <w:t>202</w:t>
      </w:r>
      <w:r w:rsidR="0053704F">
        <w:rPr>
          <w:rFonts w:cs="Tahoma"/>
          <w:bCs/>
          <w:szCs w:val="20"/>
        </w:rPr>
        <w:t>3</w:t>
      </w:r>
      <w:r w:rsidRPr="00305AEB">
        <w:rPr>
          <w:rFonts w:cs="Tahoma"/>
          <w:bCs/>
          <w:szCs w:val="20"/>
        </w:rPr>
        <w:t>.</w:t>
      </w:r>
    </w:p>
    <w:p w14:paraId="35147DFE" w14:textId="77777777" w:rsidR="008D15F0" w:rsidRPr="00305AEB" w:rsidRDefault="008D15F0" w:rsidP="00186726">
      <w:pPr>
        <w:tabs>
          <w:tab w:val="left" w:pos="709"/>
          <w:tab w:val="right" w:pos="8080"/>
        </w:tabs>
        <w:rPr>
          <w:rFonts w:cs="Tahoma"/>
          <w:szCs w:val="20"/>
        </w:rPr>
      </w:pPr>
      <w:r w:rsidRPr="00305AEB">
        <w:rPr>
          <w:rFonts w:cs="Tahoma"/>
          <w:bCs/>
          <w:szCs w:val="20"/>
        </w:rPr>
        <w:t xml:space="preserve">Le ritenute applicate dalla banca sono di </w:t>
      </w:r>
      <w:proofErr w:type="gramStart"/>
      <w:r w:rsidRPr="00305AEB">
        <w:rPr>
          <w:rFonts w:cs="Tahoma"/>
          <w:bCs/>
          <w:szCs w:val="20"/>
        </w:rPr>
        <w:t>Euro</w:t>
      </w:r>
      <w:proofErr w:type="gramEnd"/>
      <w:r w:rsidRPr="00305AEB">
        <w:rPr>
          <w:rFonts w:cs="Tahoma"/>
          <w:bCs/>
          <w:szCs w:val="20"/>
        </w:rPr>
        <w:t xml:space="preserve"> 25 mentre la aliquota convenzionale massima è del 10%.</w:t>
      </w:r>
    </w:p>
    <w:p w14:paraId="6E324180" w14:textId="77777777" w:rsidR="008D15F0" w:rsidRPr="00305AEB" w:rsidRDefault="008D15F0" w:rsidP="00186726">
      <w:pPr>
        <w:tabs>
          <w:tab w:val="left" w:pos="709"/>
          <w:tab w:val="right" w:pos="8080"/>
        </w:tabs>
        <w:rPr>
          <w:rFonts w:cs="Tahoma"/>
          <w:szCs w:val="20"/>
        </w:rPr>
      </w:pPr>
      <w:r w:rsidRPr="00305AEB">
        <w:rPr>
          <w:rFonts w:cs="Tahoma"/>
          <w:bCs/>
          <w:szCs w:val="20"/>
        </w:rPr>
        <w:t>Tale reddito viene percepito nel conto corrente estero intestato alla persona fisica.</w:t>
      </w:r>
    </w:p>
    <w:p w14:paraId="1907CF9A" w14:textId="77777777" w:rsidR="008D15F0" w:rsidRDefault="008D15F0" w:rsidP="00186726">
      <w:pPr>
        <w:tabs>
          <w:tab w:val="left" w:pos="709"/>
          <w:tab w:val="right" w:pos="8080"/>
        </w:tabs>
        <w:rPr>
          <w:rFonts w:cs="Tahoma"/>
          <w:bCs/>
          <w:szCs w:val="20"/>
        </w:rPr>
      </w:pPr>
      <w:r w:rsidRPr="00305AEB">
        <w:rPr>
          <w:rFonts w:cs="Tahoma"/>
          <w:bCs/>
          <w:szCs w:val="20"/>
        </w:rPr>
        <w:t>In questo caso, il rigo della dichiarazione da compilare è il rigo RM12:</w:t>
      </w:r>
    </w:p>
    <w:p w14:paraId="5BB40369" w14:textId="02D740A1" w:rsidR="008D15F0" w:rsidRPr="00305AEB" w:rsidRDefault="00CF34D9" w:rsidP="00186726">
      <w:pPr>
        <w:tabs>
          <w:tab w:val="left" w:pos="709"/>
          <w:tab w:val="right" w:pos="8080"/>
        </w:tabs>
        <w:rPr>
          <w:rFonts w:cs="Tahoma"/>
          <w:bCs/>
          <w:szCs w:val="20"/>
        </w:rPr>
      </w:pPr>
      <w:r>
        <w:rPr>
          <w:rFonts w:cs="Tahoma"/>
          <w:bCs/>
          <w:noProof/>
          <w:szCs w:val="20"/>
        </w:rPr>
        <w:drawing>
          <wp:inline distT="0" distB="0" distL="0" distR="0" wp14:anchorId="1BE575C7" wp14:editId="6F1F56CA">
            <wp:extent cx="5850890" cy="498475"/>
            <wp:effectExtent l="0" t="0" r="0" b="0"/>
            <wp:docPr id="1994404025"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50890" cy="498475"/>
                    </a:xfrm>
                    <a:prstGeom prst="rect">
                      <a:avLst/>
                    </a:prstGeom>
                    <a:noFill/>
                    <a:ln>
                      <a:noFill/>
                    </a:ln>
                  </pic:spPr>
                </pic:pic>
              </a:graphicData>
            </a:graphic>
          </wp:inline>
        </w:drawing>
      </w:r>
    </w:p>
    <w:p w14:paraId="23F3C364" w14:textId="77777777" w:rsidR="008D15F0" w:rsidRPr="00305AEB" w:rsidRDefault="008D15F0" w:rsidP="00186726">
      <w:pPr>
        <w:tabs>
          <w:tab w:val="left" w:pos="709"/>
          <w:tab w:val="right" w:pos="8080"/>
        </w:tabs>
        <w:rPr>
          <w:rFonts w:cs="Tahoma"/>
          <w:szCs w:val="20"/>
        </w:rPr>
      </w:pPr>
      <w:r w:rsidRPr="00305AEB">
        <w:rPr>
          <w:rFonts w:cs="Tahoma"/>
          <w:bCs/>
          <w:szCs w:val="20"/>
        </w:rPr>
        <w:t xml:space="preserve">In questo caso, il contribuente ha la facoltà di non avvalersi del regime di imposizione sostitutiva ed in tal caso scomputarsi le ritenute applicate all’estero in dichiarazione (nel nostro caso i 25 </w:t>
      </w:r>
      <w:proofErr w:type="gramStart"/>
      <w:r w:rsidRPr="00305AEB">
        <w:rPr>
          <w:rFonts w:cs="Tahoma"/>
          <w:bCs/>
          <w:szCs w:val="20"/>
        </w:rPr>
        <w:t>Euro</w:t>
      </w:r>
      <w:proofErr w:type="gramEnd"/>
      <w:r w:rsidRPr="00305AEB">
        <w:rPr>
          <w:rFonts w:cs="Tahoma"/>
          <w:bCs/>
          <w:szCs w:val="20"/>
        </w:rPr>
        <w:t>).</w:t>
      </w:r>
    </w:p>
    <w:p w14:paraId="599B8A8D" w14:textId="77777777" w:rsidR="0069364A" w:rsidRPr="00305AEB" w:rsidRDefault="0069364A" w:rsidP="00186726">
      <w:pPr>
        <w:pStyle w:val="NUOVOSOTTOPARAGRAFO"/>
        <w:rPr>
          <w:rFonts w:cs="Tahoma"/>
        </w:rPr>
      </w:pPr>
    </w:p>
    <w:p w14:paraId="3F1F180B" w14:textId="77777777" w:rsidR="008D15F0" w:rsidRPr="00305AEB" w:rsidRDefault="008D15F0" w:rsidP="00186726">
      <w:pPr>
        <w:pStyle w:val="NUOVOSOTTOPARAGRAFO"/>
        <w:rPr>
          <w:rFonts w:cs="Tahoma"/>
        </w:rPr>
      </w:pPr>
      <w:bookmarkStart w:id="127" w:name="_Toc161933189"/>
      <w:r w:rsidRPr="00305AEB">
        <w:rPr>
          <w:rFonts w:cs="Tahoma"/>
        </w:rPr>
        <w:t>6.4.2 Obbligazioni estere</w:t>
      </w:r>
      <w:bookmarkEnd w:id="127"/>
    </w:p>
    <w:p w14:paraId="26EA2927" w14:textId="7895FAFA" w:rsidR="008D15F0" w:rsidRPr="00305AEB" w:rsidRDefault="008D15F0" w:rsidP="00186726">
      <w:pPr>
        <w:tabs>
          <w:tab w:val="left" w:pos="709"/>
          <w:tab w:val="right" w:pos="8080"/>
        </w:tabs>
        <w:rPr>
          <w:rFonts w:cs="Tahoma"/>
          <w:szCs w:val="20"/>
        </w:rPr>
      </w:pPr>
      <w:r w:rsidRPr="00305AEB">
        <w:rPr>
          <w:rFonts w:cs="Tahoma"/>
          <w:bCs/>
          <w:szCs w:val="20"/>
        </w:rPr>
        <w:t>Una persona fisica detiene delle obbligazioni emesse da una banca spagnola (c.d. grande emittente).</w:t>
      </w:r>
      <w:r w:rsidRPr="00305AEB">
        <w:rPr>
          <w:rFonts w:cs="Tahoma"/>
          <w:szCs w:val="20"/>
        </w:rPr>
        <w:t xml:space="preserve"> </w:t>
      </w:r>
      <w:r w:rsidRPr="00305AEB">
        <w:rPr>
          <w:rFonts w:cs="Tahoma"/>
          <w:bCs/>
          <w:szCs w:val="20"/>
        </w:rPr>
        <w:t xml:space="preserve">I proventi generati durante il </w:t>
      </w:r>
      <w:r w:rsidR="009832E0" w:rsidRPr="00305AEB">
        <w:rPr>
          <w:rFonts w:cs="Tahoma"/>
          <w:bCs/>
          <w:szCs w:val="20"/>
        </w:rPr>
        <w:t>202</w:t>
      </w:r>
      <w:r w:rsidR="0053704F">
        <w:rPr>
          <w:rFonts w:cs="Tahoma"/>
          <w:bCs/>
          <w:szCs w:val="20"/>
        </w:rPr>
        <w:t>3</w:t>
      </w:r>
      <w:r w:rsidRPr="00305AEB">
        <w:rPr>
          <w:rFonts w:cs="Tahoma"/>
          <w:bCs/>
          <w:szCs w:val="20"/>
        </w:rPr>
        <w:t xml:space="preserve"> da tale investimento ammontano ad </w:t>
      </w:r>
      <w:proofErr w:type="gramStart"/>
      <w:r w:rsidRPr="00305AEB">
        <w:rPr>
          <w:rFonts w:cs="Tahoma"/>
          <w:bCs/>
          <w:szCs w:val="20"/>
        </w:rPr>
        <w:t>Euro</w:t>
      </w:r>
      <w:proofErr w:type="gramEnd"/>
      <w:r w:rsidRPr="00305AEB">
        <w:rPr>
          <w:rFonts w:cs="Tahoma"/>
          <w:bCs/>
          <w:szCs w:val="20"/>
        </w:rPr>
        <w:t xml:space="preserve"> 1.000.</w:t>
      </w:r>
    </w:p>
    <w:p w14:paraId="003977C4" w14:textId="77777777" w:rsidR="008D15F0" w:rsidRPr="00305AEB" w:rsidRDefault="008D15F0" w:rsidP="00186726">
      <w:pPr>
        <w:tabs>
          <w:tab w:val="left" w:pos="709"/>
          <w:tab w:val="right" w:pos="8080"/>
        </w:tabs>
        <w:rPr>
          <w:rFonts w:cs="Tahoma"/>
          <w:szCs w:val="20"/>
        </w:rPr>
      </w:pPr>
      <w:r w:rsidRPr="00305AEB">
        <w:rPr>
          <w:rFonts w:cs="Tahoma"/>
          <w:bCs/>
          <w:szCs w:val="20"/>
        </w:rPr>
        <w:t xml:space="preserve">Le ritenute applicate dalla banca spagnola al momento dell’erogazione del reddito sono di </w:t>
      </w:r>
      <w:proofErr w:type="gramStart"/>
      <w:r w:rsidRPr="00305AEB">
        <w:rPr>
          <w:rFonts w:cs="Tahoma"/>
          <w:bCs/>
          <w:szCs w:val="20"/>
        </w:rPr>
        <w:t>Euro</w:t>
      </w:r>
      <w:proofErr w:type="gramEnd"/>
      <w:r w:rsidRPr="00305AEB">
        <w:rPr>
          <w:rFonts w:cs="Tahoma"/>
          <w:bCs/>
          <w:szCs w:val="20"/>
        </w:rPr>
        <w:t xml:space="preserve"> 120, mentre l’aliquota convenzionale è pari al 12%.</w:t>
      </w:r>
    </w:p>
    <w:p w14:paraId="37B44F54" w14:textId="77777777" w:rsidR="008D15F0" w:rsidRPr="00305AEB" w:rsidRDefault="008D15F0" w:rsidP="00186726">
      <w:pPr>
        <w:tabs>
          <w:tab w:val="left" w:pos="709"/>
          <w:tab w:val="right" w:pos="8080"/>
        </w:tabs>
        <w:rPr>
          <w:rFonts w:cs="Tahoma"/>
          <w:bCs/>
          <w:szCs w:val="20"/>
        </w:rPr>
      </w:pPr>
      <w:r w:rsidRPr="00305AEB">
        <w:rPr>
          <w:rFonts w:cs="Tahoma"/>
          <w:bCs/>
          <w:szCs w:val="20"/>
        </w:rPr>
        <w:t>Tale reddito viene percepito nel conto corrente estero intestato alla persona fisica.</w:t>
      </w:r>
    </w:p>
    <w:p w14:paraId="1B541B0B" w14:textId="77777777" w:rsidR="008D15F0" w:rsidRDefault="008D15F0" w:rsidP="00186726">
      <w:pPr>
        <w:tabs>
          <w:tab w:val="left" w:pos="709"/>
          <w:tab w:val="right" w:pos="8080"/>
        </w:tabs>
        <w:rPr>
          <w:rFonts w:cs="Tahoma"/>
          <w:bCs/>
          <w:szCs w:val="20"/>
        </w:rPr>
      </w:pPr>
      <w:r w:rsidRPr="00305AEB">
        <w:rPr>
          <w:rFonts w:cs="Tahoma"/>
          <w:bCs/>
          <w:szCs w:val="20"/>
        </w:rPr>
        <w:t>In questo caso, il rigo della dichiarazione da compilare è il rigo RM12:</w:t>
      </w:r>
    </w:p>
    <w:p w14:paraId="049E287A" w14:textId="41ACAF73" w:rsidR="008D15F0" w:rsidRPr="00305AEB" w:rsidRDefault="00CF34D9" w:rsidP="00186726">
      <w:pPr>
        <w:tabs>
          <w:tab w:val="left" w:pos="709"/>
          <w:tab w:val="right" w:pos="8080"/>
        </w:tabs>
        <w:rPr>
          <w:rFonts w:cs="Tahoma"/>
          <w:bCs/>
          <w:szCs w:val="20"/>
        </w:rPr>
      </w:pPr>
      <w:r>
        <w:rPr>
          <w:rFonts w:cs="Tahoma"/>
          <w:bCs/>
          <w:noProof/>
          <w:szCs w:val="20"/>
        </w:rPr>
        <w:drawing>
          <wp:inline distT="0" distB="0" distL="0" distR="0" wp14:anchorId="488528A7" wp14:editId="2CEEC47E">
            <wp:extent cx="5844540" cy="466725"/>
            <wp:effectExtent l="0" t="0" r="3810" b="9525"/>
            <wp:docPr id="28446122"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44540" cy="466725"/>
                    </a:xfrm>
                    <a:prstGeom prst="rect">
                      <a:avLst/>
                    </a:prstGeom>
                    <a:noFill/>
                    <a:ln>
                      <a:noFill/>
                    </a:ln>
                  </pic:spPr>
                </pic:pic>
              </a:graphicData>
            </a:graphic>
          </wp:inline>
        </w:drawing>
      </w:r>
    </w:p>
    <w:p w14:paraId="42837BA1" w14:textId="77777777" w:rsidR="008D15F0" w:rsidRPr="00305AEB" w:rsidRDefault="008D15F0" w:rsidP="00186726">
      <w:pPr>
        <w:tabs>
          <w:tab w:val="left" w:pos="709"/>
          <w:tab w:val="right" w:pos="8080"/>
        </w:tabs>
        <w:rPr>
          <w:rFonts w:cs="Tahoma"/>
          <w:szCs w:val="20"/>
        </w:rPr>
      </w:pPr>
      <w:r w:rsidRPr="00305AEB">
        <w:rPr>
          <w:rFonts w:cs="Tahoma"/>
          <w:bCs/>
          <w:szCs w:val="20"/>
        </w:rPr>
        <w:t>Come si legge anche dalle istruzioni del modello dell’Agenzia delle Entrate, per tali redditi non è prevista l’opzione per la tassazione ordinaria.</w:t>
      </w:r>
    </w:p>
    <w:p w14:paraId="492AA8E1" w14:textId="77777777" w:rsidR="008D15F0" w:rsidRPr="00305AEB" w:rsidRDefault="008D15F0" w:rsidP="00186726">
      <w:pPr>
        <w:tabs>
          <w:tab w:val="left" w:pos="709"/>
          <w:tab w:val="right" w:pos="8080"/>
        </w:tabs>
        <w:rPr>
          <w:rFonts w:cs="Tahoma"/>
          <w:szCs w:val="20"/>
        </w:rPr>
      </w:pPr>
      <w:r w:rsidRPr="00305AEB">
        <w:rPr>
          <w:rFonts w:cs="Tahoma"/>
          <w:bCs/>
          <w:szCs w:val="20"/>
        </w:rPr>
        <w:t>Il contribuente non potrà quindi scomputarsi il credito per le imposte pagate all’estero.</w:t>
      </w:r>
    </w:p>
    <w:p w14:paraId="478BEC56" w14:textId="77777777" w:rsidR="007630E9" w:rsidRPr="00305AEB" w:rsidRDefault="007630E9" w:rsidP="00186726">
      <w:pPr>
        <w:rPr>
          <w:rFonts w:cs="Tahoma"/>
          <w:b/>
          <w:bCs/>
          <w:color w:val="404040"/>
          <w:sz w:val="32"/>
          <w:szCs w:val="28"/>
        </w:rPr>
        <w:sectPr w:rsidR="007630E9" w:rsidRPr="00305AEB" w:rsidSect="00471E5B">
          <w:pgSz w:w="11906" w:h="16838" w:code="9"/>
          <w:pgMar w:top="1418" w:right="1418" w:bottom="510" w:left="1276" w:header="709" w:footer="567" w:gutter="0"/>
          <w:pgNumType w:chapStyle="1"/>
          <w:cols w:space="708"/>
          <w:titlePg/>
          <w:docGrid w:linePitch="360"/>
        </w:sectPr>
      </w:pPr>
    </w:p>
    <w:bookmarkStart w:id="128" w:name="_Toc161933190"/>
    <w:p w14:paraId="04BE4907" w14:textId="50570C84" w:rsidR="008D15F0" w:rsidRPr="00E74279" w:rsidRDefault="00E22CE6" w:rsidP="00E74279">
      <w:pPr>
        <w:pStyle w:val="Titolo1"/>
      </w:pPr>
      <w:r w:rsidRPr="00186726">
        <w:rPr>
          <w:noProof/>
        </w:rPr>
        <w:lastRenderedPageBreak/>
        <mc:AlternateContent>
          <mc:Choice Requires="wps">
            <w:drawing>
              <wp:anchor distT="0" distB="0" distL="114300" distR="114300" simplePos="0" relativeHeight="251664896" behindDoc="0" locked="0" layoutInCell="1" allowOverlap="1" wp14:anchorId="59EE9EB6" wp14:editId="3687F181">
                <wp:simplePos x="0" y="0"/>
                <wp:positionH relativeFrom="margin">
                  <wp:align>center</wp:align>
                </wp:positionH>
                <wp:positionV relativeFrom="paragraph">
                  <wp:posOffset>309245</wp:posOffset>
                </wp:positionV>
                <wp:extent cx="2438400" cy="0"/>
                <wp:effectExtent l="0" t="0" r="0" b="0"/>
                <wp:wrapNone/>
                <wp:docPr id="7"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19050">
                          <a:solidFill>
                            <a:srgbClr val="40404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1065FE" id="AutoShape 120" o:spid="_x0000_s1026" type="#_x0000_t32" style="position:absolute;margin-left:0;margin-top:24.35pt;width:192pt;height:0;z-index:251664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" strokecolor="#404040" strokeweight="1.5pt">
                <w10:wrap anchorx="margin"/>
              </v:shape>
            </w:pict>
          </mc:Fallback>
        </mc:AlternateContent>
      </w:r>
      <w:r w:rsidR="008D15F0" w:rsidRPr="00E74279">
        <w:t>7.</w:t>
      </w:r>
      <w:r w:rsidRPr="007177D8">
        <w:br/>
      </w:r>
      <w:r w:rsidR="008D15F0" w:rsidRPr="00186726">
        <w:t>Il credito per le imposte pagate all’estero</w:t>
      </w:r>
      <w:bookmarkEnd w:id="128"/>
    </w:p>
    <w:p w14:paraId="13044C11" w14:textId="77777777" w:rsidR="008D15F0" w:rsidRPr="00305AEB" w:rsidRDefault="008D15F0" w:rsidP="00186726">
      <w:pPr>
        <w:rPr>
          <w:rFonts w:cs="Tahoma"/>
        </w:rPr>
      </w:pPr>
    </w:p>
    <w:p w14:paraId="26E6D655" w14:textId="77777777" w:rsidR="008D15F0" w:rsidRPr="00305AEB" w:rsidRDefault="008D15F0" w:rsidP="00186726">
      <w:pPr>
        <w:rPr>
          <w:rFonts w:cs="Tahoma"/>
        </w:rPr>
      </w:pPr>
    </w:p>
    <w:p w14:paraId="00B95087" w14:textId="5DF672DC" w:rsidR="008D15F0" w:rsidRPr="00305AEB" w:rsidRDefault="008D15F0" w:rsidP="00186726">
      <w:pPr>
        <w:rPr>
          <w:rFonts w:cs="Tahoma"/>
        </w:rPr>
      </w:pPr>
    </w:p>
    <w:p w14:paraId="52A15709" w14:textId="003EC838" w:rsidR="007630E9" w:rsidRPr="00305AEB" w:rsidRDefault="007630E9" w:rsidP="00186726">
      <w:pPr>
        <w:rPr>
          <w:rFonts w:cs="Tahoma"/>
        </w:rPr>
      </w:pPr>
    </w:p>
    <w:p w14:paraId="0393C837" w14:textId="3B8C7EA3" w:rsidR="007630E9" w:rsidRPr="00305AEB" w:rsidRDefault="007630E9" w:rsidP="00186726">
      <w:pPr>
        <w:rPr>
          <w:rFonts w:cs="Tahoma"/>
        </w:rPr>
      </w:pPr>
    </w:p>
    <w:p w14:paraId="469F17C0" w14:textId="77777777" w:rsidR="007630E9" w:rsidRPr="00305AEB" w:rsidRDefault="007630E9" w:rsidP="00186726">
      <w:pPr>
        <w:rPr>
          <w:rFonts w:cs="Tahoma"/>
        </w:rPr>
      </w:pPr>
    </w:p>
    <w:p w14:paraId="6052EFC2" w14:textId="77777777" w:rsidR="008D15F0" w:rsidRPr="00305AEB" w:rsidRDefault="008D15F0" w:rsidP="00186726">
      <w:pPr>
        <w:pStyle w:val="Sottotitolo"/>
        <w:rPr>
          <w:rFonts w:cs="Tahoma"/>
          <w:spacing w:val="0"/>
        </w:rPr>
      </w:pPr>
      <w:bookmarkStart w:id="129" w:name="_Toc161933191"/>
      <w:r w:rsidRPr="00305AEB">
        <w:rPr>
          <w:rFonts w:cs="Tahoma"/>
          <w:spacing w:val="0"/>
        </w:rPr>
        <w:t>7.1 Premessa</w:t>
      </w:r>
      <w:bookmarkEnd w:id="129"/>
    </w:p>
    <w:p w14:paraId="68C4BF77" w14:textId="77777777" w:rsidR="008D15F0" w:rsidRPr="00305AEB" w:rsidRDefault="008D15F0" w:rsidP="00186726">
      <w:pPr>
        <w:tabs>
          <w:tab w:val="left" w:pos="7371"/>
          <w:tab w:val="right" w:pos="8080"/>
        </w:tabs>
        <w:rPr>
          <w:rFonts w:cs="Tahoma"/>
          <w:szCs w:val="20"/>
        </w:rPr>
      </w:pPr>
      <w:r w:rsidRPr="00305AEB">
        <w:rPr>
          <w:rFonts w:cs="Tahoma"/>
          <w:szCs w:val="20"/>
        </w:rPr>
        <w:t xml:space="preserve">Quando un soggetto intrattiene rapporti con uno Stato diverso da quello di residenza, è possibile che si determini una base imponibile nello Stato estero con il quale tale soggetto intrattiene i rapporti. </w:t>
      </w:r>
    </w:p>
    <w:p w14:paraId="5EF2234D" w14:textId="77777777" w:rsidR="008D15F0" w:rsidRPr="00305AEB" w:rsidRDefault="008D15F0" w:rsidP="00186726">
      <w:pPr>
        <w:tabs>
          <w:tab w:val="left" w:pos="7371"/>
          <w:tab w:val="right" w:pos="8080"/>
        </w:tabs>
        <w:rPr>
          <w:rFonts w:cs="Tahoma"/>
          <w:szCs w:val="20"/>
        </w:rPr>
      </w:pPr>
      <w:r w:rsidRPr="00305AEB">
        <w:rPr>
          <w:rFonts w:cs="Tahoma"/>
          <w:szCs w:val="20"/>
        </w:rPr>
        <w:t xml:space="preserve">Il principio di tassazione su base mondiale può comportare una </w:t>
      </w:r>
      <w:r w:rsidRPr="00305AEB">
        <w:rPr>
          <w:rFonts w:cs="Tahoma"/>
          <w:b/>
          <w:bCs/>
          <w:szCs w:val="20"/>
        </w:rPr>
        <w:t>doppia imposizione</w:t>
      </w:r>
      <w:r w:rsidRPr="00305AEB">
        <w:rPr>
          <w:rFonts w:cs="Tahoma"/>
          <w:szCs w:val="20"/>
        </w:rPr>
        <w:t xml:space="preserve"> in capo al soggetto residente, che può essere attenuata o eliminata attraverso l’applicazione della normativa interna (</w:t>
      </w:r>
      <w:r w:rsidRPr="00305AEB">
        <w:rPr>
          <w:rFonts w:cs="Tahoma"/>
          <w:b/>
          <w:bCs/>
          <w:szCs w:val="20"/>
        </w:rPr>
        <w:t>art. 165 del TUIR</w:t>
      </w:r>
      <w:r w:rsidRPr="00305AEB">
        <w:rPr>
          <w:rFonts w:cs="Tahoma"/>
          <w:szCs w:val="20"/>
        </w:rPr>
        <w:t xml:space="preserve">) o le diposizioni convenzionali. </w:t>
      </w:r>
    </w:p>
    <w:p w14:paraId="0A413078" w14:textId="77777777" w:rsidR="008D15F0" w:rsidRPr="00305AEB" w:rsidRDefault="008D15F0" w:rsidP="00186726">
      <w:pPr>
        <w:tabs>
          <w:tab w:val="left" w:pos="7371"/>
          <w:tab w:val="right" w:pos="8080"/>
        </w:tabs>
        <w:rPr>
          <w:rFonts w:cs="Tahoma"/>
          <w:szCs w:val="20"/>
        </w:rPr>
      </w:pPr>
      <w:r w:rsidRPr="00305AEB">
        <w:rPr>
          <w:rFonts w:cs="Tahoma"/>
          <w:szCs w:val="20"/>
        </w:rPr>
        <w:t xml:space="preserve">Si ricorda che per doppia imposizione si intende la manifestazione di una pretesa impositiva su un determinato reddito da parte di Stati diversi. </w:t>
      </w:r>
    </w:p>
    <w:p w14:paraId="01ED29DD" w14:textId="77777777" w:rsidR="008D15F0" w:rsidRPr="00305AEB" w:rsidRDefault="008D15F0" w:rsidP="00186726">
      <w:pPr>
        <w:tabs>
          <w:tab w:val="left" w:pos="7371"/>
          <w:tab w:val="right" w:pos="8080"/>
        </w:tabs>
        <w:rPr>
          <w:rFonts w:cs="Tahoma"/>
          <w:szCs w:val="20"/>
        </w:rPr>
      </w:pPr>
      <w:r w:rsidRPr="00305AEB">
        <w:rPr>
          <w:rFonts w:cs="Tahoma"/>
          <w:szCs w:val="20"/>
        </w:rPr>
        <w:t>L’art. 165 del TUIR consente di detrarre dall'imposta italiana, in tutto o in parte, l'imposta che i residenti italiani hanno assolto all'estero, al fine di evitare la doppia imposizione sul medesimo reddito.</w:t>
      </w:r>
    </w:p>
    <w:p w14:paraId="026BB498" w14:textId="28C301C5" w:rsidR="008D15F0" w:rsidRPr="00305AEB" w:rsidRDefault="008D15F0" w:rsidP="00186726">
      <w:pPr>
        <w:tabs>
          <w:tab w:val="left" w:pos="7371"/>
          <w:tab w:val="right" w:pos="8080"/>
        </w:tabs>
        <w:rPr>
          <w:rFonts w:cs="Tahoma"/>
          <w:szCs w:val="20"/>
        </w:rPr>
      </w:pPr>
      <w:r w:rsidRPr="00305AEB">
        <w:rPr>
          <w:rFonts w:cs="Tahoma"/>
          <w:szCs w:val="20"/>
        </w:rPr>
        <w:t>Il credito è scomputato in via prioritaria dall'imposta netta, prima di eventuali versamenti in acconto e di ritenute alla fonte a titolo di acconto (art. 22, comma 1 del TUIR). </w:t>
      </w:r>
    </w:p>
    <w:p w14:paraId="78FBCC43" w14:textId="5C27B9EE" w:rsidR="008D15F0" w:rsidRPr="00305AEB" w:rsidRDefault="008D15F0" w:rsidP="00186726">
      <w:pPr>
        <w:tabs>
          <w:tab w:val="left" w:pos="7371"/>
          <w:tab w:val="right" w:pos="8080"/>
        </w:tabs>
        <w:rPr>
          <w:rFonts w:cs="Tahoma"/>
          <w:szCs w:val="20"/>
        </w:rPr>
      </w:pPr>
      <w:r w:rsidRPr="00305AEB">
        <w:rPr>
          <w:rFonts w:cs="Tahoma"/>
          <w:szCs w:val="20"/>
        </w:rPr>
        <w:t>Possono beneficiare del credito tutti i soggetti residenti, indipendentemente dalla forma giuridica (persone fisiche imprenditori e non imprenditori, società di persone e di capitali ecc.). </w:t>
      </w:r>
    </w:p>
    <w:p w14:paraId="6ED81B25" w14:textId="77777777" w:rsidR="008D15F0" w:rsidRPr="00305AEB" w:rsidRDefault="008D15F0" w:rsidP="00186726">
      <w:pPr>
        <w:tabs>
          <w:tab w:val="left" w:pos="7371"/>
          <w:tab w:val="right" w:pos="8080"/>
        </w:tabs>
        <w:rPr>
          <w:rFonts w:cs="Tahoma"/>
          <w:szCs w:val="20"/>
        </w:rPr>
      </w:pPr>
      <w:r w:rsidRPr="00305AEB">
        <w:rPr>
          <w:rFonts w:cs="Tahoma"/>
          <w:szCs w:val="20"/>
        </w:rPr>
        <w:t>Il comma 1 dell’</w:t>
      </w:r>
      <w:r w:rsidRPr="00305AEB">
        <w:rPr>
          <w:rFonts w:cs="Tahoma"/>
          <w:bCs/>
          <w:szCs w:val="20"/>
        </w:rPr>
        <w:t>art. 165 del TUIR</w:t>
      </w:r>
      <w:r w:rsidRPr="00305AEB">
        <w:rPr>
          <w:rFonts w:cs="Tahoma"/>
          <w:szCs w:val="20"/>
        </w:rPr>
        <w:t xml:space="preserve"> detta le condizioni per l’applicazione del credito per le imposte pagate all’estero:</w:t>
      </w:r>
    </w:p>
    <w:p w14:paraId="739659E4" w14:textId="77777777" w:rsidR="008D15F0" w:rsidRPr="00305AEB" w:rsidRDefault="008D15F0" w:rsidP="00186726">
      <w:pPr>
        <w:numPr>
          <w:ilvl w:val="0"/>
          <w:numId w:val="39"/>
        </w:numPr>
        <w:tabs>
          <w:tab w:val="left" w:pos="7371"/>
          <w:tab w:val="right" w:pos="8080"/>
        </w:tabs>
        <w:ind w:left="714" w:hanging="357"/>
        <w:contextualSpacing/>
        <w:rPr>
          <w:rFonts w:cs="Tahoma"/>
          <w:szCs w:val="20"/>
        </w:rPr>
      </w:pPr>
      <w:r w:rsidRPr="00305AEB">
        <w:rPr>
          <w:rFonts w:cs="Tahoma"/>
          <w:bCs/>
          <w:szCs w:val="20"/>
        </w:rPr>
        <w:t>Reddito prodotto all’estero.</w:t>
      </w:r>
    </w:p>
    <w:p w14:paraId="6A037EFB" w14:textId="77777777" w:rsidR="008D15F0" w:rsidRPr="00305AEB" w:rsidRDefault="008D15F0" w:rsidP="00186726">
      <w:pPr>
        <w:numPr>
          <w:ilvl w:val="0"/>
          <w:numId w:val="39"/>
        </w:numPr>
        <w:tabs>
          <w:tab w:val="left" w:pos="7371"/>
          <w:tab w:val="right" w:pos="8080"/>
        </w:tabs>
        <w:ind w:left="714" w:hanging="357"/>
        <w:contextualSpacing/>
        <w:rPr>
          <w:rFonts w:cs="Tahoma"/>
          <w:szCs w:val="20"/>
        </w:rPr>
      </w:pPr>
      <w:r w:rsidRPr="00305AEB">
        <w:rPr>
          <w:rFonts w:cs="Tahoma"/>
          <w:bCs/>
          <w:szCs w:val="20"/>
        </w:rPr>
        <w:t>Concorso del reddito alla formazione del reddito complessivo.</w:t>
      </w:r>
    </w:p>
    <w:p w14:paraId="4AF702CF" w14:textId="18D3B55B" w:rsidR="00E0466A" w:rsidRPr="00CF34D9" w:rsidRDefault="008D15F0" w:rsidP="00186726">
      <w:pPr>
        <w:numPr>
          <w:ilvl w:val="0"/>
          <w:numId w:val="39"/>
        </w:numPr>
        <w:tabs>
          <w:tab w:val="left" w:pos="7371"/>
          <w:tab w:val="right" w:pos="8080"/>
        </w:tabs>
        <w:rPr>
          <w:rFonts w:cs="Tahoma"/>
          <w:szCs w:val="20"/>
        </w:rPr>
      </w:pPr>
      <w:r w:rsidRPr="00305AEB">
        <w:rPr>
          <w:rFonts w:cs="Tahoma"/>
          <w:bCs/>
          <w:szCs w:val="20"/>
        </w:rPr>
        <w:t>Imposte pagate all’estero a titolo definitivo.</w:t>
      </w:r>
    </w:p>
    <w:p w14:paraId="01339645" w14:textId="77777777" w:rsidR="008D15F0" w:rsidRPr="00305AEB" w:rsidRDefault="008D15F0" w:rsidP="00186726">
      <w:pPr>
        <w:pStyle w:val="Sottotitolo"/>
        <w:rPr>
          <w:rFonts w:cs="Tahoma"/>
          <w:spacing w:val="0"/>
        </w:rPr>
      </w:pPr>
      <w:bookmarkStart w:id="130" w:name="_Toc161933192"/>
      <w:r w:rsidRPr="00305AEB">
        <w:rPr>
          <w:rFonts w:cs="Tahoma"/>
          <w:spacing w:val="0"/>
        </w:rPr>
        <w:lastRenderedPageBreak/>
        <w:t>7.2 Redditi di fonte estera per i quali compete il credito</w:t>
      </w:r>
      <w:bookmarkEnd w:id="130"/>
    </w:p>
    <w:p w14:paraId="33188B17" w14:textId="77777777" w:rsidR="008D15F0" w:rsidRPr="00305AEB" w:rsidRDefault="008D15F0" w:rsidP="00186726">
      <w:pPr>
        <w:tabs>
          <w:tab w:val="left" w:pos="7371"/>
          <w:tab w:val="right" w:pos="8080"/>
        </w:tabs>
        <w:rPr>
          <w:rFonts w:cs="Tahoma"/>
          <w:szCs w:val="20"/>
        </w:rPr>
      </w:pPr>
      <w:r w:rsidRPr="00305AEB">
        <w:rPr>
          <w:rFonts w:cs="Tahoma"/>
          <w:szCs w:val="20"/>
        </w:rPr>
        <w:t xml:space="preserve">Nella C.M. n. 9/E del 2015, l'Agenzia delle Entrate ha chiarito che, se lo Stato dove viene prodotto il reddito è legato all'Italia da una Convenzione, il credito è riconosciuto con riferimento a qualsiasi elemento di reddito che lo Stato della fonte ha assoggettato ad imposta conformemente alla Convenzione stessa. </w:t>
      </w:r>
    </w:p>
    <w:p w14:paraId="4F9CC9C5" w14:textId="77777777" w:rsidR="008D15F0" w:rsidRPr="00305AEB" w:rsidRDefault="008D15F0" w:rsidP="00186726">
      <w:pPr>
        <w:tabs>
          <w:tab w:val="left" w:pos="7371"/>
          <w:tab w:val="right" w:pos="8080"/>
        </w:tabs>
        <w:rPr>
          <w:rFonts w:cs="Tahoma"/>
          <w:szCs w:val="20"/>
        </w:rPr>
      </w:pPr>
      <w:r w:rsidRPr="00305AEB">
        <w:rPr>
          <w:rFonts w:cs="Tahoma"/>
          <w:szCs w:val="20"/>
        </w:rPr>
        <w:t>Per i redditi prodotti in Stati senza Convenzione, l’art. 165, comma 2 del TUIR prevede che i redditi si considerano prodotti all'estero (e danno, quindi, la possibilità di scomputare l'imposta estera) sulla base di criteri reciproci a quelli previsti dall’art. 23 per individuare quelli che si considerano prodotti in Italia.</w:t>
      </w:r>
    </w:p>
    <w:p w14:paraId="4CF57CCB" w14:textId="77777777" w:rsidR="008D15F0" w:rsidRPr="00305AEB" w:rsidRDefault="008D15F0" w:rsidP="00186726">
      <w:pPr>
        <w:tabs>
          <w:tab w:val="left" w:pos="7371"/>
          <w:tab w:val="right" w:pos="8080"/>
        </w:tabs>
        <w:rPr>
          <w:rFonts w:cs="Tahoma"/>
          <w:szCs w:val="20"/>
        </w:rPr>
      </w:pPr>
      <w:r w:rsidRPr="00305AEB">
        <w:rPr>
          <w:rFonts w:cs="Tahoma"/>
          <w:szCs w:val="20"/>
        </w:rPr>
        <w:t>Ciò significa che per considerare un reddito quale “reddito prodotto all’estero” lo stesso deve essere previsto dall’</w:t>
      </w:r>
      <w:r w:rsidRPr="00305AEB">
        <w:rPr>
          <w:rFonts w:cs="Tahoma"/>
          <w:bCs/>
          <w:szCs w:val="20"/>
        </w:rPr>
        <w:t>art. 23 del TUIR</w:t>
      </w:r>
      <w:r w:rsidRPr="00305AEB">
        <w:rPr>
          <w:rFonts w:cs="Tahoma"/>
          <w:szCs w:val="20"/>
        </w:rPr>
        <w:t xml:space="preserve"> che elenca i redditi prodotti all’interno del territorio dello Stato da parte dei soggetti non residenti.</w:t>
      </w:r>
    </w:p>
    <w:p w14:paraId="00C16166" w14:textId="77777777" w:rsidR="008D15F0" w:rsidRPr="00305AEB" w:rsidRDefault="008D15F0" w:rsidP="00186726">
      <w:pPr>
        <w:tabs>
          <w:tab w:val="left" w:pos="7371"/>
          <w:tab w:val="right" w:pos="8080"/>
        </w:tabs>
        <w:rPr>
          <w:rFonts w:cs="Tahoma"/>
          <w:szCs w:val="20"/>
        </w:rPr>
      </w:pPr>
      <w:r w:rsidRPr="00305AEB">
        <w:rPr>
          <w:rFonts w:cs="Tahoma"/>
          <w:szCs w:val="20"/>
        </w:rPr>
        <w:t> Per esempio, una persona fisica residente fiscalmente in Italia produce un reddito all’estero che non è considerato, secondo quanto indica l’art. 23 del TUIR, quale prodotto all’estero, l’imposta eventualmente pagata all’estero dal contribuente non potrà essere portata in detrazione dalle imposte dovute in Italia dal soggetto residente.</w:t>
      </w:r>
    </w:p>
    <w:p w14:paraId="15C23DE1" w14:textId="77777777" w:rsidR="000D3611" w:rsidRPr="00305AEB" w:rsidRDefault="000D3611" w:rsidP="00186726">
      <w:pPr>
        <w:pStyle w:val="Sottotitolo"/>
        <w:rPr>
          <w:rFonts w:cs="Tahoma"/>
          <w:spacing w:val="0"/>
        </w:rPr>
      </w:pPr>
    </w:p>
    <w:p w14:paraId="57CCA094" w14:textId="77777777" w:rsidR="008D15F0" w:rsidRPr="00305AEB" w:rsidRDefault="008D15F0" w:rsidP="00186726">
      <w:pPr>
        <w:pStyle w:val="Sottotitolo"/>
        <w:rPr>
          <w:rFonts w:cs="Tahoma"/>
          <w:spacing w:val="0"/>
        </w:rPr>
      </w:pPr>
      <w:bookmarkStart w:id="131" w:name="_Toc161933193"/>
      <w:r w:rsidRPr="00305AEB">
        <w:rPr>
          <w:rFonts w:cs="Tahoma"/>
          <w:spacing w:val="0"/>
        </w:rPr>
        <w:t>7.3 Concorso del reddito alla formazione del reddito complessivo</w:t>
      </w:r>
      <w:bookmarkEnd w:id="131"/>
    </w:p>
    <w:p w14:paraId="603929D0" w14:textId="77777777" w:rsidR="008D15F0" w:rsidRPr="00305AEB" w:rsidRDefault="008D15F0" w:rsidP="00186726">
      <w:pPr>
        <w:tabs>
          <w:tab w:val="left" w:pos="7371"/>
          <w:tab w:val="right" w:pos="8080"/>
        </w:tabs>
        <w:rPr>
          <w:rFonts w:cs="Tahoma"/>
          <w:szCs w:val="20"/>
        </w:rPr>
      </w:pPr>
      <w:r w:rsidRPr="00305AEB">
        <w:rPr>
          <w:rFonts w:cs="Tahoma"/>
          <w:szCs w:val="20"/>
        </w:rPr>
        <w:t>In questo senso è necessario, una volta stabilito che il reddito è un “reddito prodotto all’estero”, capire se lo stesso risulti incluso o meno nel reddito complessivo del contribuente (quindi, in prima approssimazione, deve essere indicato nel quadro RN del modello REDDITI).</w:t>
      </w:r>
    </w:p>
    <w:p w14:paraId="0C060335" w14:textId="77777777" w:rsidR="008D15F0" w:rsidRPr="00305AEB" w:rsidRDefault="008D15F0" w:rsidP="00186726">
      <w:pPr>
        <w:tabs>
          <w:tab w:val="left" w:pos="7371"/>
          <w:tab w:val="right" w:pos="8080"/>
        </w:tabs>
        <w:rPr>
          <w:rFonts w:cs="Tahoma"/>
          <w:szCs w:val="20"/>
        </w:rPr>
      </w:pPr>
      <w:r w:rsidRPr="00305AEB">
        <w:rPr>
          <w:rFonts w:cs="Tahoma"/>
          <w:szCs w:val="20"/>
        </w:rPr>
        <w:t xml:space="preserve">Infatti, soltanto qualora il reddito rientri nella base imponibile complessiva si effettueranno i calcoli per determinare il credito spettante. </w:t>
      </w:r>
    </w:p>
    <w:p w14:paraId="5DB5B848" w14:textId="77777777" w:rsidR="008D15F0" w:rsidRPr="00305AEB" w:rsidRDefault="008D15F0" w:rsidP="00186726">
      <w:pPr>
        <w:tabs>
          <w:tab w:val="left" w:pos="7371"/>
          <w:tab w:val="right" w:pos="8080"/>
        </w:tabs>
        <w:rPr>
          <w:rFonts w:cs="Tahoma"/>
          <w:szCs w:val="20"/>
        </w:rPr>
      </w:pPr>
      <w:r w:rsidRPr="00305AEB">
        <w:rPr>
          <w:rFonts w:cs="Tahoma"/>
          <w:szCs w:val="20"/>
        </w:rPr>
        <w:t> In caso contrario, il soggetto non potrà usufruire del credito per le imposte pagate all’estero.</w:t>
      </w:r>
    </w:p>
    <w:p w14:paraId="1F6B8C8F" w14:textId="77777777" w:rsidR="008D15F0" w:rsidRPr="00305AEB" w:rsidRDefault="008D15F0" w:rsidP="00186726">
      <w:pPr>
        <w:tabs>
          <w:tab w:val="left" w:pos="7371"/>
          <w:tab w:val="right" w:pos="8080"/>
        </w:tabs>
        <w:rPr>
          <w:rFonts w:cs="Tahoma"/>
          <w:szCs w:val="20"/>
        </w:rPr>
      </w:pPr>
      <w:r w:rsidRPr="00305AEB">
        <w:rPr>
          <w:rFonts w:cs="Tahoma"/>
          <w:szCs w:val="20"/>
        </w:rPr>
        <w:t>Quindi, il credito per le imposte pagate all’estero non sarà applicabile qualora ci siano redditi assoggettati a ritenuta a titolo di imposta, redditi assoggettati ad imposta sostitutiva o ad imposizione sostitutiva operata dallo stesso contribuente in sede di presentazione della dichiarazione dei redditi ai sensi dell’articolo 18 del TUIR.</w:t>
      </w:r>
    </w:p>
    <w:p w14:paraId="7BFBFAB9" w14:textId="77777777" w:rsidR="008D15F0" w:rsidRPr="00305AEB" w:rsidRDefault="008D15F0" w:rsidP="00186726">
      <w:pPr>
        <w:tabs>
          <w:tab w:val="left" w:pos="7371"/>
          <w:tab w:val="right" w:pos="8080"/>
        </w:tabs>
        <w:rPr>
          <w:rFonts w:cs="Tahoma"/>
          <w:szCs w:val="20"/>
        </w:rPr>
      </w:pPr>
      <w:r w:rsidRPr="00305AEB">
        <w:rPr>
          <w:rFonts w:cs="Tahoma"/>
          <w:szCs w:val="20"/>
        </w:rPr>
        <w:t>Nemmeno sarà applicabile:</w:t>
      </w:r>
    </w:p>
    <w:p w14:paraId="0CCE94EE" w14:textId="77777777" w:rsidR="008D15F0" w:rsidRPr="00305AEB" w:rsidRDefault="008D15F0" w:rsidP="00186726">
      <w:pPr>
        <w:pStyle w:val="Paragrafoelenco"/>
        <w:numPr>
          <w:ilvl w:val="0"/>
          <w:numId w:val="40"/>
        </w:numPr>
        <w:tabs>
          <w:tab w:val="left" w:pos="7371"/>
          <w:tab w:val="right" w:pos="8080"/>
        </w:tabs>
        <w:rPr>
          <w:rFonts w:cs="Tahoma"/>
          <w:szCs w:val="20"/>
        </w:rPr>
      </w:pPr>
      <w:r w:rsidRPr="00305AEB">
        <w:rPr>
          <w:rFonts w:cs="Tahoma"/>
          <w:szCs w:val="20"/>
        </w:rPr>
        <w:t xml:space="preserve">ai redditi assoggettati all’imposta sostitutiva forfettaria di 100.000 </w:t>
      </w:r>
      <w:proofErr w:type="gramStart"/>
      <w:r w:rsidRPr="00305AEB">
        <w:rPr>
          <w:rFonts w:cs="Tahoma"/>
          <w:szCs w:val="20"/>
        </w:rPr>
        <w:t>Euro</w:t>
      </w:r>
      <w:proofErr w:type="gramEnd"/>
      <w:r w:rsidRPr="00305AEB">
        <w:rPr>
          <w:rFonts w:cs="Tahoma"/>
          <w:szCs w:val="20"/>
        </w:rPr>
        <w:t xml:space="preserve"> nell’ambito del regime dei “neo domiciliati” (art. 24-bis del TUIR);</w:t>
      </w:r>
    </w:p>
    <w:p w14:paraId="6C341C8A" w14:textId="77777777" w:rsidR="008D15F0" w:rsidRPr="00305AEB" w:rsidRDefault="008D15F0" w:rsidP="00186726">
      <w:pPr>
        <w:pStyle w:val="Paragrafoelenco"/>
        <w:numPr>
          <w:ilvl w:val="0"/>
          <w:numId w:val="40"/>
        </w:numPr>
        <w:tabs>
          <w:tab w:val="left" w:pos="7371"/>
          <w:tab w:val="right" w:pos="8080"/>
        </w:tabs>
        <w:rPr>
          <w:rFonts w:cs="Tahoma"/>
          <w:szCs w:val="20"/>
        </w:rPr>
      </w:pPr>
      <w:r w:rsidRPr="00305AEB">
        <w:rPr>
          <w:rFonts w:cs="Tahoma"/>
          <w:szCs w:val="20"/>
        </w:rPr>
        <w:lastRenderedPageBreak/>
        <w:t>ai redditi assoggettati all’imposta sostitutiva del 7% per i titolari di pensione estera che si trasferiscono nel Mezzogiorno (art. 24-ter del TUIR).</w:t>
      </w:r>
    </w:p>
    <w:p w14:paraId="2637CF2C" w14:textId="77777777" w:rsidR="008D15F0" w:rsidRPr="00305AEB" w:rsidRDefault="008D15F0" w:rsidP="00186726">
      <w:pPr>
        <w:tabs>
          <w:tab w:val="left" w:pos="7371"/>
          <w:tab w:val="right" w:pos="8080"/>
        </w:tabs>
        <w:rPr>
          <w:rFonts w:cs="Tahoma"/>
          <w:szCs w:val="20"/>
        </w:rPr>
      </w:pPr>
      <w:r w:rsidRPr="00305AEB">
        <w:rPr>
          <w:rFonts w:cs="Tahoma"/>
          <w:szCs w:val="20"/>
        </w:rPr>
        <w:t>Per i redditi assoggettati all'imposta sostitutiva sui redditi di capitale di fonte estera, è consentito optare per l'imposizione ordinaria (fatto che comporta la spettanza del credito per le imposte estere), fatti salvi i casi in cui esista una preclusione in tal senso, ad esempio per i dividendi di fonte estera assoggettati a ritenuta a titolo d'imposta. </w:t>
      </w:r>
    </w:p>
    <w:p w14:paraId="46139A55" w14:textId="77777777" w:rsidR="000D3611" w:rsidRPr="00305AEB" w:rsidRDefault="000D3611" w:rsidP="00186726">
      <w:pPr>
        <w:pStyle w:val="Sottotitolo"/>
        <w:rPr>
          <w:rFonts w:cs="Tahoma"/>
          <w:spacing w:val="0"/>
        </w:rPr>
      </w:pPr>
    </w:p>
    <w:p w14:paraId="7914966D" w14:textId="77777777" w:rsidR="008D15F0" w:rsidRPr="00305AEB" w:rsidRDefault="008D15F0" w:rsidP="00186726">
      <w:pPr>
        <w:pStyle w:val="Sottotitolo"/>
        <w:rPr>
          <w:rFonts w:cs="Tahoma"/>
          <w:spacing w:val="0"/>
        </w:rPr>
      </w:pPr>
      <w:bookmarkStart w:id="132" w:name="_Toc161933194"/>
      <w:r w:rsidRPr="00305AEB">
        <w:rPr>
          <w:rFonts w:cs="Tahoma"/>
          <w:spacing w:val="0"/>
        </w:rPr>
        <w:t>7.4 Imposte estere accreditabili</w:t>
      </w:r>
      <w:bookmarkEnd w:id="132"/>
    </w:p>
    <w:p w14:paraId="25DBD4DA" w14:textId="77777777" w:rsidR="008D15F0" w:rsidRPr="00305AEB" w:rsidRDefault="008D15F0" w:rsidP="00186726">
      <w:pPr>
        <w:tabs>
          <w:tab w:val="left" w:pos="7371"/>
          <w:tab w:val="right" w:pos="8080"/>
        </w:tabs>
        <w:rPr>
          <w:rFonts w:cs="Tahoma"/>
          <w:szCs w:val="20"/>
        </w:rPr>
      </w:pPr>
      <w:r w:rsidRPr="00305AEB">
        <w:rPr>
          <w:rFonts w:cs="Tahoma"/>
          <w:szCs w:val="20"/>
        </w:rPr>
        <w:t xml:space="preserve">Possono essere accreditate a norma dell’art. 165 del TUIR le sole imposte che hanno natura di imposte sul reddito. </w:t>
      </w:r>
    </w:p>
    <w:p w14:paraId="7D816F68" w14:textId="77777777" w:rsidR="008D15F0" w:rsidRPr="00305AEB" w:rsidRDefault="008D15F0" w:rsidP="00186726">
      <w:pPr>
        <w:tabs>
          <w:tab w:val="left" w:pos="7371"/>
          <w:tab w:val="right" w:pos="8080"/>
        </w:tabs>
        <w:rPr>
          <w:rFonts w:cs="Tahoma"/>
          <w:szCs w:val="20"/>
        </w:rPr>
      </w:pPr>
      <w:r w:rsidRPr="00305AEB">
        <w:rPr>
          <w:rFonts w:cs="Tahoma"/>
          <w:szCs w:val="20"/>
        </w:rPr>
        <w:t xml:space="preserve">L’art. 15, comma 2 del </w:t>
      </w:r>
      <w:proofErr w:type="spellStart"/>
      <w:r w:rsidRPr="00305AEB">
        <w:rPr>
          <w:rFonts w:cs="Tahoma"/>
          <w:szCs w:val="20"/>
        </w:rPr>
        <w:t>DLgs</w:t>
      </w:r>
      <w:proofErr w:type="spellEnd"/>
      <w:r w:rsidRPr="00305AEB">
        <w:rPr>
          <w:rFonts w:cs="Tahoma"/>
          <w:szCs w:val="20"/>
        </w:rPr>
        <w:t>. 147/2015 ha stabilito che sono comunque accreditabili le imposte oggetto della Convenzione contro le doppie imposizioni esistente tra l'Italia e lo Stato estero; in assenza di Convenzione, invece, occorre stabilire la natura di imposta sul reddito del tributo assolto all'estero.  </w:t>
      </w:r>
    </w:p>
    <w:p w14:paraId="699BDC2B" w14:textId="77777777" w:rsidR="000D3611" w:rsidRPr="00305AEB" w:rsidRDefault="000D3611" w:rsidP="00186726">
      <w:pPr>
        <w:pStyle w:val="NUOVOSOTTOPARAGRAFO"/>
        <w:rPr>
          <w:rFonts w:cs="Tahoma"/>
        </w:rPr>
      </w:pPr>
    </w:p>
    <w:p w14:paraId="1B5A5356" w14:textId="77777777" w:rsidR="008D15F0" w:rsidRPr="00305AEB" w:rsidRDefault="008D15F0" w:rsidP="00186726">
      <w:pPr>
        <w:pStyle w:val="NUOVOSOTTOPARAGRAFO"/>
        <w:rPr>
          <w:rFonts w:cs="Tahoma"/>
        </w:rPr>
      </w:pPr>
      <w:bookmarkStart w:id="133" w:name="_Toc161933195"/>
      <w:r w:rsidRPr="00305AEB">
        <w:rPr>
          <w:rFonts w:cs="Tahoma"/>
        </w:rPr>
        <w:t>7.4.1 Imposta non espressa in euro</w:t>
      </w:r>
      <w:bookmarkEnd w:id="133"/>
    </w:p>
    <w:p w14:paraId="733BCB6D" w14:textId="77777777" w:rsidR="008D15F0" w:rsidRPr="00305AEB" w:rsidRDefault="008D15F0" w:rsidP="00186726">
      <w:pPr>
        <w:tabs>
          <w:tab w:val="left" w:pos="7371"/>
          <w:tab w:val="right" w:pos="8080"/>
        </w:tabs>
        <w:rPr>
          <w:rFonts w:cs="Tahoma"/>
          <w:szCs w:val="20"/>
        </w:rPr>
      </w:pPr>
      <w:r w:rsidRPr="00305AEB">
        <w:rPr>
          <w:rFonts w:cs="Tahoma"/>
          <w:szCs w:val="20"/>
        </w:rPr>
        <w:t>Se l'imposta pagata all'estero non è espressa in euro, occorre seguire le regole dell’art. 9 del TUIR e tradurre in euro l'importo pagato utilizzando il cambio del giorno, il cambio del giorno antecedente più prossimo o, in mancanza, il cambio del mese. </w:t>
      </w:r>
    </w:p>
    <w:p w14:paraId="57F815D9" w14:textId="77777777" w:rsidR="000D3611" w:rsidRPr="00305AEB" w:rsidRDefault="000D3611" w:rsidP="00186726">
      <w:pPr>
        <w:pStyle w:val="NUOVOSOTTOPARAGRAFO"/>
        <w:rPr>
          <w:rFonts w:cs="Tahoma"/>
        </w:rPr>
      </w:pPr>
    </w:p>
    <w:p w14:paraId="636B0C68" w14:textId="77777777" w:rsidR="008D15F0" w:rsidRPr="00305AEB" w:rsidRDefault="008D15F0" w:rsidP="00186726">
      <w:pPr>
        <w:pStyle w:val="NUOVOSOTTOPARAGRAFO"/>
        <w:rPr>
          <w:rFonts w:cs="Tahoma"/>
        </w:rPr>
      </w:pPr>
      <w:bookmarkStart w:id="134" w:name="_Toc161933196"/>
      <w:r w:rsidRPr="00305AEB">
        <w:rPr>
          <w:rFonts w:cs="Tahoma"/>
        </w:rPr>
        <w:t>7.4.2 Carattere definitivo dell’imposta estera</w:t>
      </w:r>
      <w:bookmarkEnd w:id="134"/>
    </w:p>
    <w:p w14:paraId="1CC7E52C" w14:textId="77777777" w:rsidR="008D15F0" w:rsidRPr="00305AEB" w:rsidRDefault="008D15F0" w:rsidP="00186726">
      <w:pPr>
        <w:tabs>
          <w:tab w:val="left" w:pos="7371"/>
          <w:tab w:val="right" w:pos="8080"/>
        </w:tabs>
        <w:rPr>
          <w:rFonts w:cs="Tahoma"/>
          <w:szCs w:val="20"/>
        </w:rPr>
      </w:pPr>
      <w:r w:rsidRPr="00305AEB">
        <w:rPr>
          <w:rFonts w:cs="Tahoma"/>
          <w:szCs w:val="20"/>
        </w:rPr>
        <w:t xml:space="preserve">L'imposta estera è accreditabile solo ed esclusivamente se essa ha carattere definitivo, o "non ripetibile". </w:t>
      </w:r>
    </w:p>
    <w:p w14:paraId="3BAF9856" w14:textId="77777777" w:rsidR="008D15F0" w:rsidRPr="00305AEB" w:rsidRDefault="008D15F0" w:rsidP="00186726">
      <w:pPr>
        <w:tabs>
          <w:tab w:val="left" w:pos="7371"/>
          <w:tab w:val="right" w:pos="8080"/>
        </w:tabs>
        <w:rPr>
          <w:rFonts w:cs="Tahoma"/>
          <w:szCs w:val="20"/>
        </w:rPr>
      </w:pPr>
      <w:r w:rsidRPr="00305AEB">
        <w:rPr>
          <w:rFonts w:cs="Tahoma"/>
          <w:szCs w:val="20"/>
        </w:rPr>
        <w:t>Rimangono, quindi, escluse le imposte pagate a mero titolo di acconto o, più in generale, le imposte suscettibili di rimborso o di compensazione nell'altro Stato. </w:t>
      </w:r>
    </w:p>
    <w:p w14:paraId="5A73DC6E" w14:textId="77777777" w:rsidR="008D15F0" w:rsidRPr="00305AEB" w:rsidRDefault="008D15F0" w:rsidP="00186726">
      <w:pPr>
        <w:tabs>
          <w:tab w:val="left" w:pos="7371"/>
          <w:tab w:val="right" w:pos="8080"/>
        </w:tabs>
        <w:rPr>
          <w:rFonts w:cs="Tahoma"/>
          <w:szCs w:val="20"/>
        </w:rPr>
      </w:pPr>
      <w:r w:rsidRPr="00305AEB">
        <w:rPr>
          <w:rFonts w:cs="Tahoma"/>
          <w:szCs w:val="20"/>
        </w:rPr>
        <w:t>La definitività dell’imposta pagata all’estero coincide con la sua “irripetibilità”, ossia con la circostanza che essa non è più suscettibile di modificazione a favore del contribuente (C.M. n. 9/E del 2015).</w:t>
      </w:r>
    </w:p>
    <w:p w14:paraId="29DC42DA" w14:textId="77777777" w:rsidR="008D15F0" w:rsidRPr="00305AEB" w:rsidRDefault="008D15F0" w:rsidP="00186726">
      <w:pPr>
        <w:tabs>
          <w:tab w:val="left" w:pos="7371"/>
          <w:tab w:val="right" w:pos="8080"/>
        </w:tabs>
        <w:rPr>
          <w:rFonts w:cs="Tahoma"/>
          <w:szCs w:val="20"/>
        </w:rPr>
      </w:pPr>
      <w:r w:rsidRPr="00305AEB">
        <w:rPr>
          <w:rFonts w:cs="Tahoma"/>
          <w:szCs w:val="20"/>
        </w:rPr>
        <w:t xml:space="preserve">A norma dell’art. 165, comma 4 del TUIR, il pagamento a titolo definitivo dell'imposta deve avvenire entro il termine di presentazione della dichiarazione dei redditi relativa al periodo d'imposta in cui è stato prodotto il reddito. </w:t>
      </w:r>
    </w:p>
    <w:p w14:paraId="01FD6557" w14:textId="72DF7C87" w:rsidR="008D15F0" w:rsidRPr="00305AEB" w:rsidRDefault="00E74279" w:rsidP="00186726">
      <w:pPr>
        <w:tabs>
          <w:tab w:val="left" w:pos="7371"/>
          <w:tab w:val="right" w:pos="8080"/>
        </w:tabs>
        <w:rPr>
          <w:rFonts w:cs="Tahoma"/>
          <w:szCs w:val="20"/>
        </w:rPr>
      </w:pPr>
      <w:r>
        <w:rPr>
          <w:rFonts w:cs="Tahoma"/>
          <w:szCs w:val="20"/>
        </w:rPr>
        <w:lastRenderedPageBreak/>
        <w:t>È</w:t>
      </w:r>
      <w:r w:rsidR="008D15F0" w:rsidRPr="00305AEB">
        <w:rPr>
          <w:rFonts w:cs="Tahoma"/>
          <w:szCs w:val="20"/>
        </w:rPr>
        <w:t xml:space="preserve"> comunque ammessa la detrazione anche se il pagamento avviene entro la dichiarazione del periodo d'imposta successivo, a norma dell’art. 165, comma 5 del TUIR. </w:t>
      </w:r>
    </w:p>
    <w:p w14:paraId="71255A4C" w14:textId="77777777" w:rsidR="00E0466A" w:rsidRPr="00305AEB" w:rsidRDefault="00E0466A" w:rsidP="00186726">
      <w:pPr>
        <w:pStyle w:val="NUOVOSOTTOPARAGRAFO"/>
        <w:rPr>
          <w:rFonts w:cs="Tahoma"/>
        </w:rPr>
      </w:pPr>
    </w:p>
    <w:p w14:paraId="41060F72" w14:textId="77777777" w:rsidR="008D15F0" w:rsidRPr="00305AEB" w:rsidRDefault="008D15F0" w:rsidP="00186726">
      <w:pPr>
        <w:pStyle w:val="NUOVOSOTTOPARAGRAFO"/>
        <w:rPr>
          <w:rFonts w:cs="Tahoma"/>
        </w:rPr>
      </w:pPr>
      <w:bookmarkStart w:id="135" w:name="_Toc161933197"/>
      <w:r w:rsidRPr="00305AEB">
        <w:rPr>
          <w:rFonts w:cs="Tahoma"/>
        </w:rPr>
        <w:t>7.4.3 Documentazione dell’imposta estera pagata</w:t>
      </w:r>
      <w:bookmarkEnd w:id="135"/>
    </w:p>
    <w:p w14:paraId="208B604F" w14:textId="77777777" w:rsidR="008D15F0" w:rsidRPr="00305AEB" w:rsidRDefault="008D15F0" w:rsidP="00186726">
      <w:pPr>
        <w:tabs>
          <w:tab w:val="left" w:pos="7371"/>
          <w:tab w:val="right" w:pos="8080"/>
        </w:tabs>
        <w:rPr>
          <w:rFonts w:cs="Tahoma"/>
          <w:szCs w:val="20"/>
        </w:rPr>
      </w:pPr>
      <w:r w:rsidRPr="00305AEB">
        <w:rPr>
          <w:rFonts w:cs="Tahoma"/>
          <w:szCs w:val="20"/>
        </w:rPr>
        <w:t>Come chiarito dall'Agenzia delle Entrate nella C.M. n. 9/E del 2015, il contribuente è tenuto a conservare la seguente documentazione:</w:t>
      </w:r>
    </w:p>
    <w:p w14:paraId="1DFA6CA6" w14:textId="77777777" w:rsidR="008D15F0" w:rsidRPr="00305AEB" w:rsidRDefault="008D15F0" w:rsidP="00186726">
      <w:pPr>
        <w:pStyle w:val="Paragrafoelenco"/>
        <w:numPr>
          <w:ilvl w:val="0"/>
          <w:numId w:val="41"/>
        </w:numPr>
        <w:tabs>
          <w:tab w:val="left" w:pos="7371"/>
          <w:tab w:val="right" w:pos="8080"/>
        </w:tabs>
        <w:rPr>
          <w:rFonts w:cs="Tahoma"/>
          <w:szCs w:val="20"/>
        </w:rPr>
      </w:pPr>
      <w:r w:rsidRPr="00305AEB">
        <w:rPr>
          <w:rFonts w:cs="Tahoma"/>
          <w:szCs w:val="20"/>
        </w:rPr>
        <w:t>prospetto recante l'indicazione, Stato per Stato, dei redditi esteri, delle imposte pagate in via definitiva e del credito spettante;</w:t>
      </w:r>
    </w:p>
    <w:p w14:paraId="2B26EDC1" w14:textId="77777777" w:rsidR="008D15F0" w:rsidRPr="00305AEB" w:rsidRDefault="008D15F0" w:rsidP="00186726">
      <w:pPr>
        <w:pStyle w:val="Paragrafoelenco"/>
        <w:numPr>
          <w:ilvl w:val="0"/>
          <w:numId w:val="41"/>
        </w:numPr>
        <w:tabs>
          <w:tab w:val="left" w:pos="7371"/>
          <w:tab w:val="right" w:pos="8080"/>
        </w:tabs>
        <w:rPr>
          <w:rFonts w:cs="Tahoma"/>
          <w:szCs w:val="20"/>
        </w:rPr>
      </w:pPr>
      <w:r w:rsidRPr="00305AEB">
        <w:rPr>
          <w:rFonts w:cs="Tahoma"/>
          <w:szCs w:val="20"/>
        </w:rPr>
        <w:t>copia della dichiarazione dei redditi presentata nello Stato estero, se obbligatoria;</w:t>
      </w:r>
    </w:p>
    <w:p w14:paraId="0F7BC99A" w14:textId="77777777" w:rsidR="008D15F0" w:rsidRPr="00305AEB" w:rsidRDefault="008D15F0" w:rsidP="00186726">
      <w:pPr>
        <w:pStyle w:val="Paragrafoelenco"/>
        <w:numPr>
          <w:ilvl w:val="0"/>
          <w:numId w:val="41"/>
        </w:numPr>
        <w:tabs>
          <w:tab w:val="left" w:pos="7371"/>
          <w:tab w:val="right" w:pos="8080"/>
        </w:tabs>
        <w:rPr>
          <w:rFonts w:cs="Tahoma"/>
          <w:szCs w:val="20"/>
        </w:rPr>
      </w:pPr>
      <w:r w:rsidRPr="00305AEB">
        <w:rPr>
          <w:rFonts w:cs="Tahoma"/>
          <w:szCs w:val="20"/>
        </w:rPr>
        <w:t>ricevuta di versamento delle imposte all'estero;</w:t>
      </w:r>
    </w:p>
    <w:p w14:paraId="1AF1CD2C" w14:textId="77777777" w:rsidR="008D15F0" w:rsidRPr="00305AEB" w:rsidRDefault="008D15F0" w:rsidP="00186726">
      <w:pPr>
        <w:pStyle w:val="Paragrafoelenco"/>
        <w:numPr>
          <w:ilvl w:val="0"/>
          <w:numId w:val="41"/>
        </w:numPr>
        <w:tabs>
          <w:tab w:val="left" w:pos="7371"/>
          <w:tab w:val="right" w:pos="8080"/>
        </w:tabs>
        <w:rPr>
          <w:rFonts w:cs="Tahoma"/>
          <w:szCs w:val="20"/>
        </w:rPr>
      </w:pPr>
      <w:r w:rsidRPr="00305AEB">
        <w:rPr>
          <w:rFonts w:cs="Tahoma"/>
          <w:szCs w:val="20"/>
        </w:rPr>
        <w:t>eventuale certificazione rilasciata dal soggetto che ha corrisposto i redditi;</w:t>
      </w:r>
    </w:p>
    <w:p w14:paraId="4958DB9D" w14:textId="77777777" w:rsidR="008D15F0" w:rsidRPr="00305AEB" w:rsidRDefault="008D15F0" w:rsidP="00186726">
      <w:pPr>
        <w:pStyle w:val="Paragrafoelenco"/>
        <w:numPr>
          <w:ilvl w:val="0"/>
          <w:numId w:val="41"/>
        </w:numPr>
        <w:tabs>
          <w:tab w:val="left" w:pos="7371"/>
          <w:tab w:val="right" w:pos="8080"/>
        </w:tabs>
        <w:rPr>
          <w:rFonts w:cs="Tahoma"/>
          <w:szCs w:val="20"/>
        </w:rPr>
      </w:pPr>
      <w:r w:rsidRPr="00305AEB">
        <w:rPr>
          <w:rFonts w:cs="Tahoma"/>
          <w:szCs w:val="20"/>
        </w:rPr>
        <w:t xml:space="preserve">eventuale richiesta di rimborso, se non indicata nella dichiarazione </w:t>
      </w:r>
      <w:proofErr w:type="gramStart"/>
      <w:r w:rsidRPr="00305AEB">
        <w:rPr>
          <w:rFonts w:cs="Tahoma"/>
          <w:szCs w:val="20"/>
        </w:rPr>
        <w:t>del redditi</w:t>
      </w:r>
      <w:proofErr w:type="gramEnd"/>
      <w:r w:rsidRPr="00305AEB">
        <w:rPr>
          <w:rFonts w:cs="Tahoma"/>
          <w:szCs w:val="20"/>
        </w:rPr>
        <w:t>.</w:t>
      </w:r>
    </w:p>
    <w:p w14:paraId="70EDEC93" w14:textId="77777777" w:rsidR="000D3611" w:rsidRPr="00305AEB" w:rsidRDefault="000D3611" w:rsidP="00186726">
      <w:pPr>
        <w:pStyle w:val="Sottotitolo"/>
        <w:numPr>
          <w:ilvl w:val="0"/>
          <w:numId w:val="0"/>
        </w:numPr>
        <w:rPr>
          <w:rFonts w:cs="Tahoma"/>
          <w:spacing w:val="0"/>
        </w:rPr>
      </w:pPr>
    </w:p>
    <w:p w14:paraId="7299BBBC" w14:textId="77777777" w:rsidR="008D15F0" w:rsidRPr="00305AEB" w:rsidRDefault="008D15F0" w:rsidP="00186726">
      <w:pPr>
        <w:pStyle w:val="Sottotitolo"/>
        <w:numPr>
          <w:ilvl w:val="0"/>
          <w:numId w:val="0"/>
        </w:numPr>
        <w:rPr>
          <w:rFonts w:cs="Tahoma"/>
          <w:spacing w:val="0"/>
        </w:rPr>
      </w:pPr>
      <w:bookmarkStart w:id="136" w:name="_Toc161933198"/>
      <w:r w:rsidRPr="00305AEB">
        <w:rPr>
          <w:rFonts w:cs="Tahoma"/>
          <w:spacing w:val="0"/>
        </w:rPr>
        <w:t>7.5 Determinazione del credito per le imposte pagate all’estero</w:t>
      </w:r>
      <w:bookmarkEnd w:id="136"/>
    </w:p>
    <w:p w14:paraId="0EC410B6" w14:textId="77777777" w:rsidR="008D15F0" w:rsidRPr="00305AEB" w:rsidRDefault="008D15F0" w:rsidP="00186726">
      <w:pPr>
        <w:tabs>
          <w:tab w:val="left" w:pos="7371"/>
          <w:tab w:val="right" w:pos="8080"/>
        </w:tabs>
        <w:rPr>
          <w:rFonts w:cs="Tahoma"/>
          <w:szCs w:val="20"/>
        </w:rPr>
      </w:pPr>
      <w:r w:rsidRPr="00305AEB">
        <w:rPr>
          <w:rFonts w:cs="Tahoma"/>
          <w:szCs w:val="20"/>
        </w:rPr>
        <w:t>L'imposta estera può essere detratta:</w:t>
      </w:r>
    </w:p>
    <w:p w14:paraId="12C1E1DF" w14:textId="77777777" w:rsidR="008D15F0" w:rsidRPr="00305AEB" w:rsidRDefault="008D15F0" w:rsidP="00186726">
      <w:pPr>
        <w:pStyle w:val="Paragrafoelenco"/>
        <w:numPr>
          <w:ilvl w:val="0"/>
          <w:numId w:val="42"/>
        </w:numPr>
        <w:tabs>
          <w:tab w:val="left" w:pos="7371"/>
          <w:tab w:val="right" w:pos="8080"/>
        </w:tabs>
        <w:rPr>
          <w:rFonts w:cs="Tahoma"/>
          <w:szCs w:val="20"/>
        </w:rPr>
      </w:pPr>
      <w:r w:rsidRPr="00305AEB">
        <w:rPr>
          <w:rFonts w:cs="Tahoma"/>
          <w:szCs w:val="20"/>
        </w:rPr>
        <w:t>sino a concorrenza della quota d'imposta italiana riferita al reddito estero;</w:t>
      </w:r>
    </w:p>
    <w:p w14:paraId="3302F3FD" w14:textId="77777777" w:rsidR="008D15F0" w:rsidRPr="00305AEB" w:rsidRDefault="008D15F0" w:rsidP="00186726">
      <w:pPr>
        <w:pStyle w:val="Paragrafoelenco"/>
        <w:numPr>
          <w:ilvl w:val="0"/>
          <w:numId w:val="42"/>
        </w:numPr>
        <w:tabs>
          <w:tab w:val="left" w:pos="7371"/>
          <w:tab w:val="right" w:pos="8080"/>
        </w:tabs>
        <w:rPr>
          <w:rFonts w:cs="Tahoma"/>
          <w:szCs w:val="20"/>
        </w:rPr>
      </w:pPr>
      <w:r w:rsidRPr="00305AEB">
        <w:rPr>
          <w:rFonts w:cs="Tahoma"/>
          <w:szCs w:val="20"/>
        </w:rPr>
        <w:t>nei limiti dell'imposta netta.</w:t>
      </w:r>
    </w:p>
    <w:p w14:paraId="135711CC" w14:textId="77777777" w:rsidR="000D3611" w:rsidRPr="00305AEB" w:rsidRDefault="000D3611" w:rsidP="00186726">
      <w:pPr>
        <w:pStyle w:val="NUOVOSOTTOPARAGRAFO"/>
        <w:rPr>
          <w:rFonts w:cs="Tahoma"/>
        </w:rPr>
      </w:pPr>
    </w:p>
    <w:p w14:paraId="0E526D45" w14:textId="77777777" w:rsidR="008D15F0" w:rsidRPr="00305AEB" w:rsidRDefault="008D15F0" w:rsidP="00186726">
      <w:pPr>
        <w:pStyle w:val="NUOVOSOTTOPARAGRAFO"/>
        <w:rPr>
          <w:rFonts w:cs="Tahoma"/>
        </w:rPr>
      </w:pPr>
      <w:bookmarkStart w:id="137" w:name="_Toc161933199"/>
      <w:r w:rsidRPr="00305AEB">
        <w:rPr>
          <w:rFonts w:cs="Tahoma"/>
        </w:rPr>
        <w:t>7.5.1 Quota d’imposta italiana</w:t>
      </w:r>
      <w:bookmarkEnd w:id="137"/>
    </w:p>
    <w:p w14:paraId="0B369F5A" w14:textId="77777777" w:rsidR="008D15F0" w:rsidRPr="00305AEB" w:rsidRDefault="008D15F0" w:rsidP="00186726">
      <w:pPr>
        <w:tabs>
          <w:tab w:val="left" w:pos="7371"/>
          <w:tab w:val="right" w:pos="8080"/>
        </w:tabs>
        <w:rPr>
          <w:rFonts w:cs="Tahoma"/>
          <w:szCs w:val="20"/>
        </w:rPr>
      </w:pPr>
      <w:r w:rsidRPr="00305AEB">
        <w:rPr>
          <w:rFonts w:cs="Tahoma"/>
          <w:szCs w:val="20"/>
        </w:rPr>
        <w:t>La quota di imposta italiana è pari al seguente rapporto:</w:t>
      </w:r>
    </w:p>
    <w:p w14:paraId="498BE469" w14:textId="77777777" w:rsidR="008D15F0" w:rsidRPr="00305AEB" w:rsidRDefault="008D15F0" w:rsidP="00186726">
      <w:pPr>
        <w:tabs>
          <w:tab w:val="left" w:pos="7371"/>
          <w:tab w:val="right" w:pos="8080"/>
        </w:tabs>
        <w:jc w:val="center"/>
        <w:rPr>
          <w:rFonts w:cs="Tahoma"/>
          <w:szCs w:val="20"/>
        </w:rPr>
      </w:pPr>
      <w:r w:rsidRPr="00305AEB">
        <w:rPr>
          <w:rFonts w:cs="Tahoma"/>
          <w:b/>
          <w:bCs/>
          <w:szCs w:val="20"/>
          <w:u w:val="single"/>
        </w:rPr>
        <w:t>RE</w:t>
      </w:r>
      <w:r w:rsidR="0069364A" w:rsidRPr="00305AEB">
        <w:rPr>
          <w:rFonts w:cs="Tahoma"/>
          <w:b/>
          <w:bCs/>
          <w:szCs w:val="20"/>
          <w:u w:val="single"/>
        </w:rPr>
        <w:t xml:space="preserve"> </w:t>
      </w:r>
      <w:r w:rsidRPr="00305AEB">
        <w:rPr>
          <w:rFonts w:cs="Tahoma"/>
          <w:b/>
          <w:bCs/>
          <w:szCs w:val="20"/>
        </w:rPr>
        <w:t>*</w:t>
      </w:r>
      <w:r w:rsidR="0069364A" w:rsidRPr="00305AEB">
        <w:rPr>
          <w:rFonts w:cs="Tahoma"/>
          <w:b/>
          <w:bCs/>
          <w:szCs w:val="20"/>
        </w:rPr>
        <w:t xml:space="preserve"> </w:t>
      </w:r>
      <w:r w:rsidRPr="00305AEB">
        <w:rPr>
          <w:rFonts w:cs="Tahoma"/>
          <w:b/>
          <w:bCs/>
          <w:szCs w:val="20"/>
        </w:rPr>
        <w:t>imposta italiana</w:t>
      </w:r>
    </w:p>
    <w:p w14:paraId="16C66A23" w14:textId="77777777" w:rsidR="008D15F0" w:rsidRPr="00305AEB" w:rsidRDefault="008D15F0" w:rsidP="00186726">
      <w:pPr>
        <w:tabs>
          <w:tab w:val="left" w:pos="7371"/>
          <w:tab w:val="right" w:pos="8080"/>
        </w:tabs>
        <w:jc w:val="center"/>
        <w:rPr>
          <w:rFonts w:cs="Tahoma"/>
          <w:szCs w:val="20"/>
        </w:rPr>
      </w:pPr>
      <w:r w:rsidRPr="00305AEB">
        <w:rPr>
          <w:rFonts w:cs="Tahoma"/>
          <w:b/>
          <w:bCs/>
          <w:szCs w:val="20"/>
        </w:rPr>
        <w:t>RCN</w:t>
      </w:r>
    </w:p>
    <w:p w14:paraId="54E279F6" w14:textId="77777777" w:rsidR="008D15F0" w:rsidRPr="00305AEB" w:rsidRDefault="008D15F0" w:rsidP="00186726">
      <w:pPr>
        <w:tabs>
          <w:tab w:val="left" w:pos="7371"/>
          <w:tab w:val="right" w:pos="8080"/>
        </w:tabs>
        <w:rPr>
          <w:rFonts w:cs="Tahoma"/>
          <w:szCs w:val="20"/>
        </w:rPr>
      </w:pPr>
      <w:r w:rsidRPr="00305AEB">
        <w:rPr>
          <w:rFonts w:cs="Tahoma"/>
          <w:b/>
          <w:bCs/>
          <w:szCs w:val="20"/>
        </w:rPr>
        <w:t>RE=&gt; Reddito estero</w:t>
      </w:r>
    </w:p>
    <w:p w14:paraId="0F6DA385" w14:textId="77777777" w:rsidR="008D15F0" w:rsidRPr="00305AEB" w:rsidRDefault="008D15F0" w:rsidP="00186726">
      <w:pPr>
        <w:tabs>
          <w:tab w:val="left" w:pos="7371"/>
          <w:tab w:val="right" w:pos="8080"/>
        </w:tabs>
        <w:rPr>
          <w:rFonts w:cs="Tahoma"/>
          <w:szCs w:val="20"/>
        </w:rPr>
      </w:pPr>
      <w:r w:rsidRPr="00305AEB">
        <w:rPr>
          <w:rFonts w:cs="Tahoma"/>
          <w:b/>
          <w:bCs/>
          <w:szCs w:val="20"/>
        </w:rPr>
        <w:t>RCN=&gt; Reddito complessivo al netto delle perdite dei pregressi periodi d’imposta.</w:t>
      </w:r>
    </w:p>
    <w:p w14:paraId="7C26CDED" w14:textId="77777777" w:rsidR="008D15F0" w:rsidRPr="00305AEB" w:rsidRDefault="008D15F0" w:rsidP="00186726">
      <w:pPr>
        <w:tabs>
          <w:tab w:val="left" w:pos="7371"/>
          <w:tab w:val="right" w:pos="8080"/>
        </w:tabs>
        <w:rPr>
          <w:rFonts w:cs="Tahoma"/>
          <w:szCs w:val="20"/>
        </w:rPr>
      </w:pPr>
      <w:r w:rsidRPr="00305AEB">
        <w:rPr>
          <w:rFonts w:cs="Tahoma"/>
          <w:szCs w:val="20"/>
        </w:rPr>
        <w:t>Si tenga presente che: </w:t>
      </w:r>
    </w:p>
    <w:p w14:paraId="77B6E82B" w14:textId="77777777" w:rsidR="008D15F0" w:rsidRPr="00305AEB" w:rsidRDefault="008D15F0" w:rsidP="00186726">
      <w:pPr>
        <w:numPr>
          <w:ilvl w:val="0"/>
          <w:numId w:val="43"/>
        </w:numPr>
        <w:tabs>
          <w:tab w:val="left" w:pos="7371"/>
          <w:tab w:val="right" w:pos="8080"/>
        </w:tabs>
        <w:ind w:left="714" w:hanging="357"/>
        <w:contextualSpacing/>
        <w:rPr>
          <w:rFonts w:cs="Tahoma"/>
          <w:szCs w:val="20"/>
        </w:rPr>
      </w:pPr>
      <w:r w:rsidRPr="00305AEB">
        <w:rPr>
          <w:rFonts w:cs="Tahoma"/>
          <w:szCs w:val="20"/>
        </w:rPr>
        <w:t>qualora l’imposta estera fosse inferiore a quella prevista in Italia, il soggetto residente dovrebbe versare la differenza in Italia;</w:t>
      </w:r>
    </w:p>
    <w:p w14:paraId="3EF5A931" w14:textId="77777777" w:rsidR="008D15F0" w:rsidRPr="00305AEB" w:rsidRDefault="008D15F0" w:rsidP="00186726">
      <w:pPr>
        <w:numPr>
          <w:ilvl w:val="0"/>
          <w:numId w:val="43"/>
        </w:numPr>
        <w:tabs>
          <w:tab w:val="left" w:pos="7371"/>
          <w:tab w:val="right" w:pos="8080"/>
        </w:tabs>
        <w:ind w:left="714" w:hanging="357"/>
        <w:contextualSpacing/>
        <w:rPr>
          <w:rFonts w:cs="Tahoma"/>
          <w:szCs w:val="20"/>
        </w:rPr>
      </w:pPr>
      <w:r w:rsidRPr="00305AEB">
        <w:rPr>
          <w:rFonts w:cs="Tahoma"/>
          <w:szCs w:val="20"/>
        </w:rPr>
        <w:lastRenderedPageBreak/>
        <w:t>qualora invece l’imposta estera risultasse superiore a quella determinata, il soggetto residente rimarrebbe, in principio, inciso della differenza tra l’imposta pagata all’estero e quella pagata in Italia, subendo una parziale doppia imposizione;</w:t>
      </w:r>
    </w:p>
    <w:p w14:paraId="7168821B" w14:textId="77777777" w:rsidR="008D15F0" w:rsidRPr="00305AEB" w:rsidRDefault="008D15F0" w:rsidP="00186726">
      <w:pPr>
        <w:numPr>
          <w:ilvl w:val="0"/>
          <w:numId w:val="43"/>
        </w:numPr>
        <w:tabs>
          <w:tab w:val="left" w:pos="7371"/>
          <w:tab w:val="right" w:pos="8080"/>
        </w:tabs>
        <w:rPr>
          <w:rFonts w:cs="Tahoma"/>
          <w:szCs w:val="20"/>
        </w:rPr>
      </w:pPr>
      <w:r w:rsidRPr="00305AEB">
        <w:rPr>
          <w:rFonts w:cs="Tahoma"/>
          <w:szCs w:val="20"/>
        </w:rPr>
        <w:t>se, per effetto delle perdite pregresse, il rapporto tra reddito estero e reddito complessivo eccede il 100%, il rapporto si considera pari ad 1.</w:t>
      </w:r>
    </w:p>
    <w:p w14:paraId="515446AF" w14:textId="77777777" w:rsidR="008D15F0" w:rsidRPr="00305AEB" w:rsidRDefault="008D15F0" w:rsidP="00186726">
      <w:pPr>
        <w:tabs>
          <w:tab w:val="left" w:pos="7371"/>
          <w:tab w:val="right" w:pos="8080"/>
        </w:tabs>
        <w:rPr>
          <w:rFonts w:cs="Tahoma"/>
          <w:szCs w:val="20"/>
        </w:rPr>
      </w:pPr>
      <w:r w:rsidRPr="00305AEB">
        <w:rPr>
          <w:rFonts w:cs="Tahoma"/>
          <w:szCs w:val="20"/>
        </w:rPr>
        <w:t>Il reddito estero deve essere rideterminato secondo le regole italiane; unica eccezione sono i redditi fondiari, per i quali l’art. 70 del TUIR prevede, in determinati casi, che si debba assumere il reddito secondo la valutazione effettuata dallo Stato estero come abbiamo detto nel capitolo relativo ai redditi immobiliari.</w:t>
      </w:r>
    </w:p>
    <w:p w14:paraId="29289199" w14:textId="77777777" w:rsidR="000D3611" w:rsidRPr="00305AEB" w:rsidRDefault="000D3611" w:rsidP="00186726">
      <w:pPr>
        <w:pStyle w:val="NUOVOSOTTOPARAGRAFO"/>
        <w:rPr>
          <w:rFonts w:cs="Tahoma"/>
        </w:rPr>
      </w:pPr>
    </w:p>
    <w:p w14:paraId="14667540" w14:textId="77777777" w:rsidR="008D15F0" w:rsidRPr="00305AEB" w:rsidRDefault="008D15F0" w:rsidP="00186726">
      <w:pPr>
        <w:pStyle w:val="NUOVOSOTTOPARAGRAFO"/>
        <w:rPr>
          <w:rFonts w:cs="Tahoma"/>
        </w:rPr>
      </w:pPr>
      <w:bookmarkStart w:id="138" w:name="_Toc161933200"/>
      <w:r w:rsidRPr="00305AEB">
        <w:rPr>
          <w:rFonts w:cs="Tahoma"/>
        </w:rPr>
        <w:t>7.5.2 Limite dell’imposta netta</w:t>
      </w:r>
      <w:bookmarkEnd w:id="138"/>
    </w:p>
    <w:p w14:paraId="39ACC37C" w14:textId="77777777" w:rsidR="008D15F0" w:rsidRPr="00305AEB" w:rsidRDefault="008D15F0" w:rsidP="00186726">
      <w:pPr>
        <w:tabs>
          <w:tab w:val="left" w:pos="7371"/>
          <w:tab w:val="right" w:pos="8080"/>
        </w:tabs>
        <w:rPr>
          <w:rFonts w:cs="Tahoma"/>
          <w:szCs w:val="20"/>
        </w:rPr>
      </w:pPr>
      <w:r w:rsidRPr="00305AEB">
        <w:rPr>
          <w:rFonts w:cs="Tahoma"/>
          <w:szCs w:val="20"/>
        </w:rPr>
        <w:t xml:space="preserve">L'imposta netta rilevata nel quadro RN del modello REDDITI rappresenta l'ammontare massimo dell'imposta estera detraibile. </w:t>
      </w:r>
    </w:p>
    <w:p w14:paraId="33D43E78" w14:textId="77777777" w:rsidR="008D15F0" w:rsidRPr="00305AEB" w:rsidRDefault="008D15F0" w:rsidP="00186726">
      <w:pPr>
        <w:tabs>
          <w:tab w:val="left" w:pos="7371"/>
          <w:tab w:val="right" w:pos="8080"/>
        </w:tabs>
        <w:rPr>
          <w:rFonts w:cs="Tahoma"/>
          <w:szCs w:val="20"/>
        </w:rPr>
      </w:pPr>
      <w:r w:rsidRPr="00305AEB">
        <w:rPr>
          <w:rFonts w:cs="Tahoma"/>
          <w:szCs w:val="20"/>
        </w:rPr>
        <w:t>Secondo l’art. 11, comma 4 del TUIR, se il credito eccede l'imposta netta, il contribuente può riportare l'eccedenza al periodo d'imposta successivo o chiederne il rimborso.</w:t>
      </w:r>
    </w:p>
    <w:p w14:paraId="706D53F0" w14:textId="77777777" w:rsidR="008D15F0" w:rsidRPr="00305AEB" w:rsidRDefault="008D15F0" w:rsidP="00186726">
      <w:pPr>
        <w:tabs>
          <w:tab w:val="left" w:pos="7371"/>
          <w:tab w:val="right" w:pos="8080"/>
        </w:tabs>
        <w:rPr>
          <w:rFonts w:cs="Tahoma"/>
          <w:szCs w:val="20"/>
        </w:rPr>
      </w:pPr>
      <w:r w:rsidRPr="00305AEB">
        <w:rPr>
          <w:rFonts w:cs="Tahoma"/>
          <w:szCs w:val="20"/>
        </w:rPr>
        <w:t xml:space="preserve">Come rilevato dall'Agenzia delle Entrate nella C.M. n. 9/E del 2015, con l’art. 11 del TUIR il legislatore ha inteso regolare l'ipotesi in cui l'imposta netta del periodo in cui il tributo estero diviene definitivo (e quindi scomputabile) è inferiore a quella del periodo in cui il reddito estero ha concorso alla formazione del reddito (e che rileva ai fini della determinazione dell'imposta estera detraibile). </w:t>
      </w:r>
    </w:p>
    <w:p w14:paraId="2D3A0FEE" w14:textId="77777777" w:rsidR="000D3611" w:rsidRPr="00305AEB" w:rsidRDefault="000D3611" w:rsidP="00186726">
      <w:pPr>
        <w:pStyle w:val="Sottotitolo"/>
        <w:numPr>
          <w:ilvl w:val="0"/>
          <w:numId w:val="0"/>
        </w:numPr>
        <w:rPr>
          <w:rFonts w:cs="Tahoma"/>
          <w:spacing w:val="0"/>
        </w:rPr>
      </w:pPr>
    </w:p>
    <w:p w14:paraId="2781ED1D" w14:textId="77777777" w:rsidR="008D15F0" w:rsidRPr="00305AEB" w:rsidRDefault="008D15F0" w:rsidP="00186726">
      <w:pPr>
        <w:pStyle w:val="Sottotitolo"/>
        <w:numPr>
          <w:ilvl w:val="0"/>
          <w:numId w:val="0"/>
        </w:numPr>
        <w:rPr>
          <w:rFonts w:cs="Tahoma"/>
          <w:spacing w:val="0"/>
        </w:rPr>
      </w:pPr>
      <w:bookmarkStart w:id="139" w:name="_Toc161933201"/>
      <w:r w:rsidRPr="00305AEB">
        <w:rPr>
          <w:rFonts w:cs="Tahoma"/>
          <w:spacing w:val="0"/>
        </w:rPr>
        <w:t>7.6 Periodo d’imposta in cui deve essere richiesta la detrazione</w:t>
      </w:r>
      <w:bookmarkEnd w:id="139"/>
    </w:p>
    <w:p w14:paraId="3E72283C" w14:textId="77777777" w:rsidR="008D15F0" w:rsidRPr="00305AEB" w:rsidRDefault="008D15F0" w:rsidP="00186726">
      <w:pPr>
        <w:tabs>
          <w:tab w:val="left" w:pos="7371"/>
          <w:tab w:val="right" w:pos="8080"/>
        </w:tabs>
        <w:rPr>
          <w:rFonts w:cs="Tahoma"/>
          <w:szCs w:val="20"/>
        </w:rPr>
      </w:pPr>
      <w:r w:rsidRPr="00305AEB">
        <w:rPr>
          <w:rFonts w:cs="Tahoma"/>
          <w:szCs w:val="20"/>
        </w:rPr>
        <w:t>La detrazione deve essere calcolata nella dichiarazione cui "appartiene" il reddito estero cui si riferisce l'imposta, a condizione che il suo pagamento sia a titolo definitivo (art. 165, comma 4 del TUIR).</w:t>
      </w:r>
    </w:p>
    <w:p w14:paraId="3C7E5034" w14:textId="77777777" w:rsidR="008D15F0" w:rsidRPr="00305AEB" w:rsidRDefault="008D15F0" w:rsidP="00186726">
      <w:pPr>
        <w:tabs>
          <w:tab w:val="left" w:pos="7371"/>
          <w:tab w:val="right" w:pos="8080"/>
        </w:tabs>
        <w:rPr>
          <w:rFonts w:cs="Tahoma"/>
          <w:szCs w:val="20"/>
        </w:rPr>
      </w:pPr>
      <w:r w:rsidRPr="00305AEB">
        <w:rPr>
          <w:rFonts w:cs="Tahoma"/>
          <w:szCs w:val="20"/>
        </w:rPr>
        <w:t>Se, però, il carattere definitivo dell'imposta si manifesta successivamente, occorre richiedere il credito nella prima dichiarazione utile, fermo restando che la quota d'imposta italiana e l'imposta netta rilevanti per il calcolo del credito sono quelli relativi al periodo d'imposta in cui è stato dichiarato il reddito estero.</w:t>
      </w:r>
    </w:p>
    <w:p w14:paraId="54D79C87" w14:textId="70FFA25C" w:rsidR="008D15F0" w:rsidRPr="00305AEB" w:rsidRDefault="008D15F0" w:rsidP="00186726">
      <w:pPr>
        <w:tabs>
          <w:tab w:val="left" w:pos="7371"/>
          <w:tab w:val="right" w:pos="8080"/>
        </w:tabs>
        <w:rPr>
          <w:rFonts w:cs="Tahoma"/>
          <w:szCs w:val="20"/>
        </w:rPr>
      </w:pPr>
      <w:r w:rsidRPr="00305AEB">
        <w:rPr>
          <w:rFonts w:cs="Tahoma"/>
          <w:szCs w:val="20"/>
        </w:rPr>
        <w:t>Il medesimo principio deve essere osservato nel caso in cui, con riferimento al medesimo reddito,</w:t>
      </w:r>
      <w:r w:rsidR="00E74279">
        <w:rPr>
          <w:rFonts w:cs="Tahoma"/>
          <w:szCs w:val="20"/>
        </w:rPr>
        <w:t xml:space="preserve"> </w:t>
      </w:r>
      <w:r w:rsidRPr="00305AEB">
        <w:rPr>
          <w:rFonts w:cs="Tahoma"/>
          <w:szCs w:val="20"/>
        </w:rPr>
        <w:t>l'imposta estera viene versata in più pagamenti frazionati in diversi periodi d'imposta (si vedano le esemplificazioni contenute nella C.M. n. 9/E del 2015).</w:t>
      </w:r>
      <w:r w:rsidR="0069364A" w:rsidRPr="00305AEB">
        <w:rPr>
          <w:rFonts w:cs="Tahoma"/>
          <w:szCs w:val="20"/>
        </w:rPr>
        <w:t xml:space="preserve"> </w:t>
      </w:r>
    </w:p>
    <w:p w14:paraId="0F4CE804" w14:textId="77777777" w:rsidR="008D15F0" w:rsidRPr="00305AEB" w:rsidRDefault="008D15F0" w:rsidP="00186726">
      <w:pPr>
        <w:pStyle w:val="Sottotitolo"/>
        <w:numPr>
          <w:ilvl w:val="0"/>
          <w:numId w:val="0"/>
        </w:numPr>
        <w:rPr>
          <w:rFonts w:cs="Tahoma"/>
          <w:spacing w:val="0"/>
        </w:rPr>
      </w:pPr>
      <w:bookmarkStart w:id="140" w:name="_Toc161933202"/>
      <w:r w:rsidRPr="00305AEB">
        <w:rPr>
          <w:rFonts w:cs="Tahoma"/>
          <w:spacing w:val="0"/>
        </w:rPr>
        <w:lastRenderedPageBreak/>
        <w:t xml:space="preserve">7.7 Per country </w:t>
      </w:r>
      <w:proofErr w:type="spellStart"/>
      <w:r w:rsidRPr="00305AEB">
        <w:rPr>
          <w:rFonts w:cs="Tahoma"/>
          <w:spacing w:val="0"/>
        </w:rPr>
        <w:t>limitation</w:t>
      </w:r>
      <w:bookmarkEnd w:id="140"/>
      <w:proofErr w:type="spellEnd"/>
    </w:p>
    <w:p w14:paraId="146DA9E9" w14:textId="77777777" w:rsidR="008D15F0" w:rsidRPr="00305AEB" w:rsidRDefault="008D15F0" w:rsidP="00186726">
      <w:pPr>
        <w:tabs>
          <w:tab w:val="left" w:pos="7371"/>
          <w:tab w:val="right" w:pos="8080"/>
        </w:tabs>
        <w:rPr>
          <w:rFonts w:cs="Tahoma"/>
          <w:szCs w:val="20"/>
        </w:rPr>
      </w:pPr>
      <w:r w:rsidRPr="00305AEB">
        <w:rPr>
          <w:rFonts w:cs="Tahoma"/>
          <w:szCs w:val="20"/>
        </w:rPr>
        <w:t>A norma dell’art. 165, comma 3 del TUIR, il calcolo dell'imposta estera detraibile deve essere fatto Stato per Stato (non è, quindi, ammesso cumulare le imposte assolte nei vari Stati esteri e procedere in modo unitario alla determinazione dell'imposta detraibile). </w:t>
      </w:r>
    </w:p>
    <w:p w14:paraId="4E1C1BEC" w14:textId="77777777" w:rsidR="000D3611" w:rsidRPr="00305AEB" w:rsidRDefault="000D3611" w:rsidP="00186726">
      <w:pPr>
        <w:pStyle w:val="Sottotitolo"/>
        <w:numPr>
          <w:ilvl w:val="0"/>
          <w:numId w:val="0"/>
        </w:numPr>
        <w:rPr>
          <w:rFonts w:cs="Tahoma"/>
          <w:spacing w:val="0"/>
        </w:rPr>
      </w:pPr>
    </w:p>
    <w:p w14:paraId="27680321" w14:textId="77777777" w:rsidR="008D15F0" w:rsidRPr="00305AEB" w:rsidRDefault="008D15F0" w:rsidP="00186726">
      <w:pPr>
        <w:pStyle w:val="Sottotitolo"/>
        <w:numPr>
          <w:ilvl w:val="0"/>
          <w:numId w:val="0"/>
        </w:numPr>
        <w:rPr>
          <w:rFonts w:cs="Tahoma"/>
          <w:spacing w:val="0"/>
        </w:rPr>
      </w:pPr>
      <w:bookmarkStart w:id="141" w:name="_Toc161933203"/>
      <w:r w:rsidRPr="00305AEB">
        <w:rPr>
          <w:rFonts w:cs="Tahoma"/>
          <w:spacing w:val="0"/>
        </w:rPr>
        <w:t>7.8 Redditi che concorrono solo parzialmente alla formazione della base imponibile italiana</w:t>
      </w:r>
      <w:bookmarkEnd w:id="141"/>
    </w:p>
    <w:p w14:paraId="5C4CCD06" w14:textId="77777777" w:rsidR="008D15F0" w:rsidRPr="00305AEB" w:rsidRDefault="008D15F0" w:rsidP="00186726">
      <w:pPr>
        <w:tabs>
          <w:tab w:val="left" w:pos="7371"/>
          <w:tab w:val="right" w:pos="8080"/>
        </w:tabs>
        <w:rPr>
          <w:rFonts w:cs="Tahoma"/>
          <w:szCs w:val="20"/>
        </w:rPr>
      </w:pPr>
      <w:r w:rsidRPr="00305AEB">
        <w:rPr>
          <w:rFonts w:cs="Tahoma"/>
          <w:szCs w:val="20"/>
        </w:rPr>
        <w:t xml:space="preserve">Ai sensi dell’art. 165, comma 10 del TUIR, se il reddito di fonte estera concorre solo parzialmente alla formazione della base imponibile italiana, anche l'imposta estera su cui calcolare la detrazione deve essere ridotta in modo corrispondente. </w:t>
      </w:r>
    </w:p>
    <w:p w14:paraId="09623653" w14:textId="77777777" w:rsidR="008D15F0" w:rsidRPr="00305AEB" w:rsidRDefault="008D15F0" w:rsidP="00186726">
      <w:pPr>
        <w:tabs>
          <w:tab w:val="left" w:pos="7371"/>
          <w:tab w:val="right" w:pos="8080"/>
        </w:tabs>
        <w:rPr>
          <w:rFonts w:cs="Tahoma"/>
          <w:szCs w:val="20"/>
        </w:rPr>
      </w:pPr>
      <w:r w:rsidRPr="00305AEB">
        <w:rPr>
          <w:rFonts w:cs="Tahoma"/>
          <w:szCs w:val="20"/>
        </w:rPr>
        <w:t>Il principio trova applicazione, ad esempio, per i dividendi, che concorrono alla formazione del reddito complessivo nel limite del 5% (se percepiti da società di capitali o da enti commerciali).</w:t>
      </w:r>
    </w:p>
    <w:p w14:paraId="17CACB26" w14:textId="77777777" w:rsidR="008D15F0" w:rsidRPr="00305AEB" w:rsidRDefault="008D15F0" w:rsidP="00186726">
      <w:pPr>
        <w:tabs>
          <w:tab w:val="left" w:pos="7371"/>
          <w:tab w:val="right" w:pos="8080"/>
        </w:tabs>
        <w:rPr>
          <w:rFonts w:cs="Tahoma"/>
          <w:szCs w:val="20"/>
        </w:rPr>
      </w:pPr>
    </w:p>
    <w:p w14:paraId="59E01EBC" w14:textId="77777777" w:rsidR="008D15F0" w:rsidRPr="00305AEB" w:rsidRDefault="008D15F0" w:rsidP="00186726">
      <w:pPr>
        <w:pStyle w:val="Sottotitolo"/>
        <w:numPr>
          <w:ilvl w:val="0"/>
          <w:numId w:val="0"/>
        </w:numPr>
        <w:rPr>
          <w:rFonts w:cs="Tahoma"/>
          <w:spacing w:val="0"/>
        </w:rPr>
      </w:pPr>
      <w:bookmarkStart w:id="142" w:name="_Toc161933204"/>
      <w:r w:rsidRPr="00305AEB">
        <w:rPr>
          <w:rFonts w:cs="Tahoma"/>
          <w:spacing w:val="0"/>
        </w:rPr>
        <w:t>7.9 Indicazione in dichiarazione</w:t>
      </w:r>
      <w:bookmarkEnd w:id="142"/>
    </w:p>
    <w:p w14:paraId="0607F967" w14:textId="77777777" w:rsidR="008D15F0" w:rsidRPr="00305AEB" w:rsidRDefault="008D15F0" w:rsidP="00186726">
      <w:pPr>
        <w:tabs>
          <w:tab w:val="left" w:pos="7371"/>
          <w:tab w:val="right" w:pos="8080"/>
        </w:tabs>
        <w:rPr>
          <w:rFonts w:cs="Tahoma"/>
          <w:szCs w:val="20"/>
        </w:rPr>
      </w:pPr>
      <w:r w:rsidRPr="00305AEB">
        <w:rPr>
          <w:rFonts w:cs="Tahoma"/>
          <w:szCs w:val="20"/>
        </w:rPr>
        <w:t>Di seguito si espone un esempio di indicazione del credito per le imposte pagate all’estero in dichiarazione.</w:t>
      </w:r>
    </w:p>
    <w:p w14:paraId="7AF7957E" w14:textId="2CCA4BF2" w:rsidR="008D15F0" w:rsidRPr="00305AEB" w:rsidRDefault="008D15F0" w:rsidP="00186726">
      <w:pPr>
        <w:tabs>
          <w:tab w:val="left" w:pos="7371"/>
          <w:tab w:val="right" w:pos="8080"/>
        </w:tabs>
        <w:rPr>
          <w:rFonts w:cs="Tahoma"/>
          <w:szCs w:val="20"/>
        </w:rPr>
      </w:pPr>
      <w:r w:rsidRPr="00305AEB">
        <w:rPr>
          <w:rFonts w:cs="Tahoma"/>
          <w:szCs w:val="20"/>
        </w:rPr>
        <w:t xml:space="preserve">Una persona residente ha realizzato nel </w:t>
      </w:r>
      <w:r w:rsidR="005E70AD" w:rsidRPr="00305AEB">
        <w:rPr>
          <w:rFonts w:cs="Tahoma"/>
          <w:szCs w:val="20"/>
        </w:rPr>
        <w:t>202</w:t>
      </w:r>
      <w:r w:rsidR="00396E1E" w:rsidRPr="00305AEB">
        <w:rPr>
          <w:rFonts w:cs="Tahoma"/>
          <w:szCs w:val="20"/>
        </w:rPr>
        <w:t>2</w:t>
      </w:r>
      <w:r w:rsidRPr="00305AEB">
        <w:rPr>
          <w:rFonts w:cs="Tahoma"/>
          <w:szCs w:val="20"/>
        </w:rPr>
        <w:t xml:space="preserve"> redditi imponibili in Austria che, rideterminati secondo le norme fiscali italiane, ammontano a 60.000,00 euro; l'imposta pagata all'estero in modo definitivo per il </w:t>
      </w:r>
      <w:r w:rsidR="005E70AD" w:rsidRPr="00305AEB">
        <w:rPr>
          <w:rFonts w:cs="Tahoma"/>
          <w:szCs w:val="20"/>
        </w:rPr>
        <w:t>202</w:t>
      </w:r>
      <w:r w:rsidR="00D65E19">
        <w:rPr>
          <w:rFonts w:cs="Tahoma"/>
          <w:szCs w:val="20"/>
        </w:rPr>
        <w:t>3</w:t>
      </w:r>
      <w:r w:rsidRPr="00305AEB">
        <w:rPr>
          <w:rFonts w:cs="Tahoma"/>
          <w:szCs w:val="20"/>
        </w:rPr>
        <w:t xml:space="preserve"> è pari a 17.500,00 euro.</w:t>
      </w:r>
    </w:p>
    <w:p w14:paraId="072F0201" w14:textId="77777777" w:rsidR="008D15F0" w:rsidRPr="00305AEB" w:rsidRDefault="008D15F0" w:rsidP="00186726">
      <w:pPr>
        <w:tabs>
          <w:tab w:val="left" w:pos="7371"/>
          <w:tab w:val="right" w:pos="8080"/>
        </w:tabs>
        <w:rPr>
          <w:rFonts w:cs="Tahoma"/>
          <w:szCs w:val="20"/>
        </w:rPr>
      </w:pPr>
      <w:r w:rsidRPr="00305AEB">
        <w:rPr>
          <w:rFonts w:cs="Tahoma"/>
          <w:szCs w:val="20"/>
        </w:rPr>
        <w:t xml:space="preserve">Il reddito complessivo si suppone pari a 130.000,00 euro, a cui corrisponde un'imposta lorda di 49.070,00 </w:t>
      </w:r>
      <w:proofErr w:type="gramStart"/>
      <w:r w:rsidRPr="00305AEB">
        <w:rPr>
          <w:rFonts w:cs="Tahoma"/>
          <w:szCs w:val="20"/>
        </w:rPr>
        <w:t>Euro</w:t>
      </w:r>
      <w:proofErr w:type="gramEnd"/>
      <w:r w:rsidRPr="00305AEB">
        <w:rPr>
          <w:rFonts w:cs="Tahoma"/>
          <w:szCs w:val="20"/>
        </w:rPr>
        <w:t xml:space="preserve"> e un'imposta netta di 41.000,00 euro.</w:t>
      </w:r>
    </w:p>
    <w:p w14:paraId="316CA453" w14:textId="77777777" w:rsidR="008D15F0" w:rsidRDefault="008D15F0" w:rsidP="00186726">
      <w:pPr>
        <w:tabs>
          <w:tab w:val="left" w:pos="7371"/>
          <w:tab w:val="right" w:pos="8080"/>
        </w:tabs>
        <w:rPr>
          <w:rFonts w:cs="Tahoma"/>
          <w:szCs w:val="20"/>
        </w:rPr>
      </w:pPr>
      <w:r w:rsidRPr="00305AEB">
        <w:rPr>
          <w:rFonts w:cs="Tahoma"/>
          <w:szCs w:val="20"/>
        </w:rPr>
        <w:t>La sezione I-A del quadro CE è compilata come segue.</w:t>
      </w:r>
    </w:p>
    <w:p w14:paraId="492B92F1" w14:textId="4A618417" w:rsidR="00983CA6" w:rsidRDefault="00983CA6" w:rsidP="00186726">
      <w:pPr>
        <w:tabs>
          <w:tab w:val="left" w:pos="7371"/>
          <w:tab w:val="right" w:pos="8080"/>
        </w:tabs>
        <w:rPr>
          <w:rFonts w:cs="Tahoma"/>
          <w:szCs w:val="20"/>
        </w:rPr>
      </w:pPr>
      <w:r>
        <w:rPr>
          <w:rFonts w:cs="Tahoma"/>
          <w:noProof/>
          <w:szCs w:val="20"/>
        </w:rPr>
        <w:drawing>
          <wp:inline distT="0" distB="0" distL="0" distR="0" wp14:anchorId="1A15399A" wp14:editId="11B8FABD">
            <wp:extent cx="5849620" cy="1087755"/>
            <wp:effectExtent l="0" t="0" r="0" b="0"/>
            <wp:docPr id="26910209"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10209" name="Immagine 26910209"/>
                    <pic:cNvPicPr/>
                  </pic:nvPicPr>
                  <pic:blipFill>
                    <a:blip r:embed="rId28"/>
                    <a:stretch>
                      <a:fillRect/>
                    </a:stretch>
                  </pic:blipFill>
                  <pic:spPr>
                    <a:xfrm>
                      <a:off x="0" y="0"/>
                      <a:ext cx="5849620" cy="1087755"/>
                    </a:xfrm>
                    <a:prstGeom prst="rect">
                      <a:avLst/>
                    </a:prstGeom>
                  </pic:spPr>
                </pic:pic>
              </a:graphicData>
            </a:graphic>
          </wp:inline>
        </w:drawing>
      </w:r>
    </w:p>
    <w:p w14:paraId="12265BA2" w14:textId="76F5A799" w:rsidR="008D15F0" w:rsidRPr="00305AEB" w:rsidRDefault="008D15F0" w:rsidP="00186726">
      <w:pPr>
        <w:tabs>
          <w:tab w:val="left" w:pos="7371"/>
          <w:tab w:val="right" w:pos="8080"/>
        </w:tabs>
        <w:rPr>
          <w:rFonts w:cs="Tahoma"/>
          <w:szCs w:val="20"/>
        </w:rPr>
      </w:pPr>
      <w:r w:rsidRPr="00305AEB">
        <w:rPr>
          <w:rFonts w:cs="Tahoma"/>
          <w:szCs w:val="20"/>
        </w:rPr>
        <w:t xml:space="preserve">Come si può capire, l'imposta estera è scomputabile nel </w:t>
      </w:r>
      <w:r w:rsidR="00411541" w:rsidRPr="00305AEB">
        <w:rPr>
          <w:rFonts w:cs="Tahoma"/>
          <w:szCs w:val="20"/>
        </w:rPr>
        <w:t>202</w:t>
      </w:r>
      <w:r w:rsidR="00493849">
        <w:rPr>
          <w:rFonts w:cs="Tahoma"/>
          <w:szCs w:val="20"/>
        </w:rPr>
        <w:t>3</w:t>
      </w:r>
      <w:r w:rsidRPr="00305AEB">
        <w:rPr>
          <w:rFonts w:cs="Tahoma"/>
          <w:szCs w:val="20"/>
        </w:rPr>
        <w:t xml:space="preserve"> in modo integrale, in quanto il relativo importo (17.500,00 euro) è inferiore alla quota di imposta lorda di 22.648,00 euro, importo ottenuto </w:t>
      </w:r>
      <w:r w:rsidRPr="00305AEB">
        <w:rPr>
          <w:rFonts w:cs="Tahoma"/>
          <w:szCs w:val="20"/>
        </w:rPr>
        <w:lastRenderedPageBreak/>
        <w:t>moltiplicando l'imposta lorda italiana (colonna 6) per il rapporto tra il reddito estero (colonna 3) e il reddito complessivo (colonna 5). </w:t>
      </w:r>
    </w:p>
    <w:p w14:paraId="64960368" w14:textId="77777777" w:rsidR="008D15F0" w:rsidRPr="00305AEB" w:rsidRDefault="008D15F0" w:rsidP="00186726">
      <w:pPr>
        <w:tabs>
          <w:tab w:val="left" w:pos="7371"/>
          <w:tab w:val="right" w:pos="8080"/>
        </w:tabs>
        <w:rPr>
          <w:rFonts w:cs="Tahoma"/>
          <w:szCs w:val="20"/>
        </w:rPr>
      </w:pPr>
      <w:r w:rsidRPr="00305AEB">
        <w:rPr>
          <w:rFonts w:cs="Tahoma"/>
          <w:szCs w:val="20"/>
        </w:rPr>
        <w:t>Si rimarca in questa sede che la quota di imposta italiana espressa dalla colonna 10 è determinata prendendo a riferimento l'imposta lorda, e non l'imposta netta.</w:t>
      </w:r>
    </w:p>
    <w:p w14:paraId="6A0D9767" w14:textId="77777777" w:rsidR="008D15F0" w:rsidRPr="00305AEB" w:rsidRDefault="008D15F0" w:rsidP="00186726">
      <w:pPr>
        <w:tabs>
          <w:tab w:val="left" w:pos="7371"/>
          <w:tab w:val="right" w:pos="8080"/>
        </w:tabs>
        <w:rPr>
          <w:rFonts w:cs="Tahoma"/>
          <w:szCs w:val="20"/>
        </w:rPr>
      </w:pPr>
    </w:p>
    <w:p w14:paraId="334AE53F" w14:textId="77777777" w:rsidR="008D15F0" w:rsidRPr="00305AEB" w:rsidRDefault="008D15F0" w:rsidP="00186726">
      <w:pPr>
        <w:widowControl w:val="0"/>
        <w:autoSpaceDE w:val="0"/>
        <w:autoSpaceDN w:val="0"/>
        <w:adjustRightInd w:val="0"/>
        <w:rPr>
          <w:rFonts w:eastAsiaTheme="minorEastAsia" w:cs="Tahoma"/>
          <w:color w:val="555757"/>
          <w:sz w:val="32"/>
          <w:szCs w:val="32"/>
        </w:rPr>
      </w:pPr>
    </w:p>
    <w:p w14:paraId="646FC4BE" w14:textId="77777777" w:rsidR="007630E9" w:rsidRPr="00305AEB" w:rsidRDefault="007630E9" w:rsidP="00186726">
      <w:pPr>
        <w:rPr>
          <w:rFonts w:cs="Tahoma"/>
          <w:b/>
          <w:bCs/>
          <w:color w:val="404040"/>
          <w:sz w:val="32"/>
          <w:szCs w:val="28"/>
        </w:rPr>
        <w:sectPr w:rsidR="007630E9" w:rsidRPr="00305AEB" w:rsidSect="00471E5B">
          <w:pgSz w:w="11906" w:h="16838" w:code="9"/>
          <w:pgMar w:top="1418" w:right="1418" w:bottom="510" w:left="1276" w:header="709" w:footer="567" w:gutter="0"/>
          <w:pgNumType w:chapStyle="1"/>
          <w:cols w:space="708"/>
          <w:titlePg/>
          <w:docGrid w:linePitch="360"/>
        </w:sectPr>
      </w:pPr>
    </w:p>
    <w:bookmarkStart w:id="143" w:name="_Toc161933205"/>
    <w:p w14:paraId="463F7CEA" w14:textId="45FA86C6" w:rsidR="008D15F0" w:rsidRPr="00E74279" w:rsidRDefault="00E22CE6" w:rsidP="00E74279">
      <w:pPr>
        <w:pStyle w:val="Titolo1"/>
      </w:pPr>
      <w:r w:rsidRPr="00186726">
        <w:rPr>
          <w:noProof/>
        </w:rPr>
        <w:lastRenderedPageBreak/>
        <mc:AlternateContent>
          <mc:Choice Requires="wps">
            <w:drawing>
              <wp:anchor distT="0" distB="0" distL="114300" distR="114300" simplePos="0" relativeHeight="251680256" behindDoc="0" locked="0" layoutInCell="1" allowOverlap="1" wp14:anchorId="7BDF9DBB" wp14:editId="37112C34">
                <wp:simplePos x="0" y="0"/>
                <wp:positionH relativeFrom="margin">
                  <wp:align>center</wp:align>
                </wp:positionH>
                <wp:positionV relativeFrom="paragraph">
                  <wp:posOffset>274955</wp:posOffset>
                </wp:positionV>
                <wp:extent cx="2438400" cy="0"/>
                <wp:effectExtent l="0" t="0" r="0" b="0"/>
                <wp:wrapNone/>
                <wp:docPr id="9"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19050">
                          <a:solidFill>
                            <a:srgbClr val="40404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EAD2AF" id="AutoShape 120" o:spid="_x0000_s1026" type="#_x0000_t32" style="position:absolute;margin-left:0;margin-top:21.65pt;width:192pt;height:0;z-index:2516802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" strokecolor="#404040" strokeweight="1.5pt">
                <w10:wrap anchorx="margin"/>
              </v:shape>
            </w:pict>
          </mc:Fallback>
        </mc:AlternateContent>
      </w:r>
      <w:r w:rsidR="008D15F0" w:rsidRPr="00E74279">
        <w:t>8.</w:t>
      </w:r>
      <w:r w:rsidRPr="007177D8">
        <w:br/>
      </w:r>
      <w:r w:rsidR="008D15F0" w:rsidRPr="00186726">
        <w:t>Il monitoraggio fiscale</w:t>
      </w:r>
      <w:bookmarkEnd w:id="143"/>
      <w:r w:rsidR="008D15F0" w:rsidRPr="00186726">
        <w:t xml:space="preserve"> </w:t>
      </w:r>
    </w:p>
    <w:p w14:paraId="0CA80337" w14:textId="77777777" w:rsidR="008D15F0" w:rsidRPr="00305AEB" w:rsidRDefault="008D15F0" w:rsidP="00186726">
      <w:pPr>
        <w:rPr>
          <w:rFonts w:cs="Tahoma"/>
        </w:rPr>
      </w:pPr>
    </w:p>
    <w:p w14:paraId="248FFF2B" w14:textId="77777777" w:rsidR="008D15F0" w:rsidRPr="00305AEB" w:rsidRDefault="008D15F0" w:rsidP="00186726">
      <w:pPr>
        <w:rPr>
          <w:rFonts w:cs="Tahoma"/>
        </w:rPr>
      </w:pPr>
    </w:p>
    <w:p w14:paraId="433CD236" w14:textId="2EDB99BF" w:rsidR="008D15F0" w:rsidRPr="00305AEB" w:rsidRDefault="008D15F0" w:rsidP="00186726">
      <w:pPr>
        <w:rPr>
          <w:rFonts w:cs="Tahoma"/>
        </w:rPr>
      </w:pPr>
    </w:p>
    <w:p w14:paraId="39A5FD5E" w14:textId="3D44551C" w:rsidR="007630E9" w:rsidRPr="00305AEB" w:rsidRDefault="007630E9" w:rsidP="00186726">
      <w:pPr>
        <w:rPr>
          <w:rFonts w:cs="Tahoma"/>
        </w:rPr>
      </w:pPr>
    </w:p>
    <w:p w14:paraId="0181F808" w14:textId="7214EAC0" w:rsidR="007630E9" w:rsidRPr="00305AEB" w:rsidRDefault="007630E9" w:rsidP="00186726">
      <w:pPr>
        <w:rPr>
          <w:rFonts w:cs="Tahoma"/>
        </w:rPr>
      </w:pPr>
    </w:p>
    <w:p w14:paraId="5BB95A79" w14:textId="77777777" w:rsidR="007630E9" w:rsidRPr="00305AEB" w:rsidRDefault="007630E9" w:rsidP="00186726">
      <w:pPr>
        <w:rPr>
          <w:rFonts w:cs="Tahoma"/>
        </w:rPr>
      </w:pPr>
    </w:p>
    <w:p w14:paraId="0F59474C" w14:textId="77777777" w:rsidR="008D15F0" w:rsidRPr="00305AEB" w:rsidRDefault="008D15F0" w:rsidP="00186726">
      <w:pPr>
        <w:tabs>
          <w:tab w:val="left" w:pos="709"/>
          <w:tab w:val="right" w:pos="8080"/>
        </w:tabs>
        <w:rPr>
          <w:rFonts w:cs="Tahoma"/>
          <w:szCs w:val="20"/>
        </w:rPr>
      </w:pPr>
      <w:r w:rsidRPr="00305AEB">
        <w:rPr>
          <w:rFonts w:cs="Tahoma"/>
          <w:szCs w:val="20"/>
        </w:rPr>
        <w:t>La normativa sul monitoraggio è contenuta nel D.L. n. 167/1990 ed ha l’obiettivo di consentire all’Amministrazione Finanziaria di avere una compiuta conoscenza delle attività detenute all’estero dai contribuenti residenti in Italia e, dunque, di controllare il corretto assolvimento dei relativi debiti tributari.</w:t>
      </w:r>
    </w:p>
    <w:p w14:paraId="6F10F4BD" w14:textId="77777777" w:rsidR="000D3611" w:rsidRPr="00305AEB" w:rsidRDefault="000D3611" w:rsidP="00186726">
      <w:pPr>
        <w:pStyle w:val="Sottotitolo"/>
        <w:rPr>
          <w:rFonts w:cs="Tahoma"/>
          <w:spacing w:val="0"/>
        </w:rPr>
      </w:pPr>
    </w:p>
    <w:p w14:paraId="7889F775" w14:textId="77777777" w:rsidR="008D15F0" w:rsidRPr="00305AEB" w:rsidRDefault="008D15F0" w:rsidP="00186726">
      <w:pPr>
        <w:pStyle w:val="Sottotitolo"/>
        <w:rPr>
          <w:rFonts w:cs="Tahoma"/>
          <w:spacing w:val="0"/>
        </w:rPr>
      </w:pPr>
      <w:bookmarkStart w:id="144" w:name="_Toc161933206"/>
      <w:r w:rsidRPr="00305AEB">
        <w:rPr>
          <w:rFonts w:cs="Tahoma"/>
          <w:spacing w:val="0"/>
        </w:rPr>
        <w:t>8.1 Il quadro RW</w:t>
      </w:r>
      <w:bookmarkEnd w:id="144"/>
    </w:p>
    <w:p w14:paraId="5FE74CFF" w14:textId="77777777" w:rsidR="008D15F0" w:rsidRPr="00305AEB" w:rsidRDefault="008D15F0" w:rsidP="00186726">
      <w:pPr>
        <w:tabs>
          <w:tab w:val="left" w:pos="709"/>
          <w:tab w:val="right" w:pos="8080"/>
        </w:tabs>
        <w:rPr>
          <w:rFonts w:cs="Tahoma"/>
          <w:szCs w:val="20"/>
        </w:rPr>
      </w:pPr>
      <w:r w:rsidRPr="00305AEB">
        <w:rPr>
          <w:rFonts w:cs="Tahoma"/>
          <w:szCs w:val="20"/>
        </w:rPr>
        <w:t>Il quadro RW è un quadro non reddituale della dichiarazione dei redditi previsto per le persone fisiche (REDDITI PF), le società semplici ed enti equiparati (REDDITI SP) e gli enti non commerciali (REDDITI ENC) che detengono investimenti all'estero e attività estere di natura finanziaria a titolo di proprietà o di altro diritto reale, indipendentemente dalle modalità della loro acquisizione.</w:t>
      </w:r>
    </w:p>
    <w:p w14:paraId="4781B877" w14:textId="77777777" w:rsidR="008D15F0" w:rsidRPr="00305AEB" w:rsidRDefault="008D15F0" w:rsidP="00186726">
      <w:pPr>
        <w:tabs>
          <w:tab w:val="left" w:pos="709"/>
          <w:tab w:val="right" w:pos="8080"/>
        </w:tabs>
        <w:rPr>
          <w:rFonts w:cs="Tahoma"/>
          <w:szCs w:val="20"/>
        </w:rPr>
      </w:pPr>
      <w:r w:rsidRPr="00305AEB">
        <w:rPr>
          <w:rFonts w:cs="Tahoma"/>
          <w:szCs w:val="20"/>
        </w:rPr>
        <w:t>All'interno del quadro RW delle persone fisiche residenti (REDDITI PF) devono essere liquidate anche le imposte patrimoniali sui beni detenuti all'estero, ovvero l’IVIE e l’IVAFE.</w:t>
      </w:r>
    </w:p>
    <w:p w14:paraId="568E814D" w14:textId="77777777" w:rsidR="000D3611" w:rsidRPr="00305AEB" w:rsidRDefault="000D3611" w:rsidP="00186726">
      <w:pPr>
        <w:pStyle w:val="NUOVOSOTTOPARAGRAFO"/>
        <w:rPr>
          <w:rFonts w:cs="Tahoma"/>
        </w:rPr>
      </w:pPr>
    </w:p>
    <w:p w14:paraId="3403392C" w14:textId="77777777" w:rsidR="008D15F0" w:rsidRPr="00305AEB" w:rsidRDefault="008D15F0" w:rsidP="00186726">
      <w:pPr>
        <w:pStyle w:val="NUOVOSOTTOPARAGRAFO"/>
        <w:rPr>
          <w:rFonts w:cs="Tahoma"/>
        </w:rPr>
      </w:pPr>
      <w:bookmarkStart w:id="145" w:name="_Toc161933207"/>
      <w:r w:rsidRPr="00305AEB">
        <w:rPr>
          <w:rFonts w:cs="Tahoma"/>
        </w:rPr>
        <w:t>8.1.1 Soggetti tenuti alla compilazione del quadro RW</w:t>
      </w:r>
      <w:bookmarkEnd w:id="145"/>
      <w:r w:rsidRPr="00305AEB">
        <w:rPr>
          <w:rFonts w:cs="Tahoma"/>
        </w:rPr>
        <w:t xml:space="preserve"> </w:t>
      </w:r>
    </w:p>
    <w:p w14:paraId="7AB50A6C" w14:textId="77777777" w:rsidR="008D15F0" w:rsidRPr="00305AEB" w:rsidRDefault="008D15F0" w:rsidP="00186726">
      <w:pPr>
        <w:tabs>
          <w:tab w:val="left" w:pos="7371"/>
          <w:tab w:val="right" w:pos="8080"/>
        </w:tabs>
        <w:rPr>
          <w:rFonts w:cs="Tahoma"/>
          <w:szCs w:val="20"/>
        </w:rPr>
      </w:pPr>
      <w:r w:rsidRPr="00305AEB">
        <w:rPr>
          <w:rFonts w:cs="Tahoma"/>
          <w:szCs w:val="20"/>
        </w:rPr>
        <w:t>Devono compilare il quadro RW i soggetti residenti in Italia indicati dall’art. 4 del D.L. n. 167 del 1990, ovvero (C.M. n. 38/E del 2013):</w:t>
      </w:r>
    </w:p>
    <w:p w14:paraId="0E5DCF58" w14:textId="77777777" w:rsidR="008D15F0" w:rsidRPr="00305AEB" w:rsidRDefault="008D15F0" w:rsidP="00186726">
      <w:pPr>
        <w:pStyle w:val="Paragrafoelenco"/>
        <w:numPr>
          <w:ilvl w:val="0"/>
          <w:numId w:val="44"/>
        </w:numPr>
        <w:tabs>
          <w:tab w:val="left" w:pos="7371"/>
          <w:tab w:val="right" w:pos="8080"/>
        </w:tabs>
        <w:rPr>
          <w:rFonts w:cs="Tahoma"/>
          <w:szCs w:val="20"/>
        </w:rPr>
      </w:pPr>
      <w:r w:rsidRPr="00305AEB">
        <w:rPr>
          <w:rFonts w:cs="Tahoma"/>
          <w:szCs w:val="20"/>
        </w:rPr>
        <w:t>le persone fisiche (anche imprenditori e lavoratori autonomi);</w:t>
      </w:r>
    </w:p>
    <w:p w14:paraId="3FE80B0E" w14:textId="77777777" w:rsidR="008D15F0" w:rsidRPr="00305AEB" w:rsidRDefault="008D15F0" w:rsidP="00186726">
      <w:pPr>
        <w:pStyle w:val="Paragrafoelenco"/>
        <w:numPr>
          <w:ilvl w:val="0"/>
          <w:numId w:val="44"/>
        </w:numPr>
        <w:tabs>
          <w:tab w:val="left" w:pos="7371"/>
          <w:tab w:val="right" w:pos="8080"/>
        </w:tabs>
        <w:rPr>
          <w:rFonts w:cs="Tahoma"/>
          <w:szCs w:val="20"/>
        </w:rPr>
      </w:pPr>
      <w:r w:rsidRPr="00305AEB">
        <w:rPr>
          <w:rFonts w:cs="Tahoma"/>
          <w:szCs w:val="20"/>
        </w:rPr>
        <w:t>gli enti non commerciali, tra cui anche i trust;</w:t>
      </w:r>
    </w:p>
    <w:p w14:paraId="43FCF8BE" w14:textId="77777777" w:rsidR="008D15F0" w:rsidRPr="00305AEB" w:rsidRDefault="008D15F0" w:rsidP="00186726">
      <w:pPr>
        <w:pStyle w:val="Paragrafoelenco"/>
        <w:numPr>
          <w:ilvl w:val="0"/>
          <w:numId w:val="44"/>
        </w:numPr>
        <w:tabs>
          <w:tab w:val="left" w:pos="7371"/>
          <w:tab w:val="right" w:pos="8080"/>
        </w:tabs>
        <w:rPr>
          <w:rFonts w:cs="Tahoma"/>
          <w:szCs w:val="20"/>
        </w:rPr>
      </w:pPr>
      <w:r w:rsidRPr="00305AEB">
        <w:rPr>
          <w:rFonts w:cs="Tahoma"/>
          <w:szCs w:val="20"/>
        </w:rPr>
        <w:t>le società semplici e gli enti alle stesse equiparati (ex art. 5 del TUIR).</w:t>
      </w:r>
    </w:p>
    <w:p w14:paraId="5ADF7700" w14:textId="77777777" w:rsidR="008D15F0" w:rsidRPr="00305AEB" w:rsidRDefault="008D15F0" w:rsidP="00186726">
      <w:pPr>
        <w:tabs>
          <w:tab w:val="left" w:pos="7371"/>
          <w:tab w:val="right" w:pos="8080"/>
        </w:tabs>
        <w:rPr>
          <w:rFonts w:cs="Tahoma"/>
          <w:szCs w:val="20"/>
        </w:rPr>
      </w:pPr>
      <w:r w:rsidRPr="00305AEB">
        <w:rPr>
          <w:rFonts w:cs="Tahoma"/>
          <w:szCs w:val="20"/>
        </w:rPr>
        <w:lastRenderedPageBreak/>
        <w:t>Sono tenuti alla dichiarazione delle attività detenute all'estero, non solo i possessori formali delle stesse, ma anche coloro che, pur non essendo i possessori diretti, sono considerati i titolari effettivi dell'investimento, secondo quanto previsto dall'art. 1 co. 2 lett. pp) e dall’art. 20 del D. Lgs. n. 231/2007.</w:t>
      </w:r>
    </w:p>
    <w:p w14:paraId="4664E3B0" w14:textId="77777777" w:rsidR="005923A1" w:rsidRDefault="005923A1" w:rsidP="00186726">
      <w:pPr>
        <w:pStyle w:val="NUOVOSOTTOPARAGRAFO"/>
        <w:rPr>
          <w:rFonts w:cs="Tahoma"/>
        </w:rPr>
      </w:pPr>
    </w:p>
    <w:p w14:paraId="2E78BAC4" w14:textId="2DEF0A24" w:rsidR="008D15F0" w:rsidRPr="00305AEB" w:rsidRDefault="008D15F0" w:rsidP="00186726">
      <w:pPr>
        <w:pStyle w:val="NUOVOSOTTOPARAGRAFO"/>
        <w:rPr>
          <w:rFonts w:cs="Tahoma"/>
        </w:rPr>
      </w:pPr>
      <w:bookmarkStart w:id="146" w:name="_Toc161933208"/>
      <w:r w:rsidRPr="00305AEB">
        <w:rPr>
          <w:rFonts w:cs="Tahoma"/>
        </w:rPr>
        <w:t>8.1.2 Ambito oggettivo</w:t>
      </w:r>
      <w:bookmarkEnd w:id="146"/>
      <w:r w:rsidR="0069364A" w:rsidRPr="00305AEB">
        <w:rPr>
          <w:rFonts w:cs="Tahoma"/>
        </w:rPr>
        <w:t xml:space="preserve"> </w:t>
      </w:r>
    </w:p>
    <w:p w14:paraId="68A1C20C" w14:textId="77777777" w:rsidR="008D15F0" w:rsidRPr="00305AEB" w:rsidRDefault="008D15F0" w:rsidP="00186726">
      <w:pPr>
        <w:tabs>
          <w:tab w:val="left" w:pos="7371"/>
          <w:tab w:val="right" w:pos="8080"/>
        </w:tabs>
        <w:rPr>
          <w:rFonts w:cs="Tahoma"/>
          <w:szCs w:val="20"/>
        </w:rPr>
      </w:pPr>
      <w:r w:rsidRPr="00305AEB">
        <w:rPr>
          <w:rFonts w:cs="Tahoma"/>
          <w:szCs w:val="20"/>
        </w:rPr>
        <w:t>All'interno del quadro RW, devono essere evidenziate le consistenze esistenti nel periodo d'imposta:</w:t>
      </w:r>
    </w:p>
    <w:p w14:paraId="209E4630" w14:textId="77777777" w:rsidR="008D15F0" w:rsidRPr="00305AEB" w:rsidRDefault="008D15F0" w:rsidP="00186726">
      <w:pPr>
        <w:pStyle w:val="Paragrafoelenco"/>
        <w:numPr>
          <w:ilvl w:val="0"/>
          <w:numId w:val="45"/>
        </w:numPr>
        <w:tabs>
          <w:tab w:val="left" w:pos="7371"/>
          <w:tab w:val="right" w:pos="8080"/>
        </w:tabs>
        <w:rPr>
          <w:rFonts w:cs="Tahoma"/>
          <w:szCs w:val="20"/>
        </w:rPr>
      </w:pPr>
      <w:r w:rsidRPr="00305AEB">
        <w:rPr>
          <w:rFonts w:cs="Tahoma"/>
          <w:szCs w:val="20"/>
        </w:rPr>
        <w:t>degli investimenti all'estero suscettibili di produrre redditi di fonte estera imponibili in Italia;</w:t>
      </w:r>
    </w:p>
    <w:p w14:paraId="72F774A1" w14:textId="77777777" w:rsidR="008D15F0" w:rsidRPr="00305AEB" w:rsidRDefault="008D15F0" w:rsidP="00186726">
      <w:pPr>
        <w:pStyle w:val="Paragrafoelenco"/>
        <w:numPr>
          <w:ilvl w:val="0"/>
          <w:numId w:val="45"/>
        </w:numPr>
        <w:tabs>
          <w:tab w:val="left" w:pos="7371"/>
          <w:tab w:val="right" w:pos="8080"/>
        </w:tabs>
        <w:rPr>
          <w:rFonts w:cs="Tahoma"/>
          <w:szCs w:val="20"/>
        </w:rPr>
      </w:pPr>
      <w:r w:rsidRPr="00305AEB">
        <w:rPr>
          <w:rFonts w:cs="Tahoma"/>
          <w:szCs w:val="20"/>
        </w:rPr>
        <w:t>delle attività estere di natura finanziaria anch'esse suscettibili di produrre redditi di fonte estera imponibili in Italia.</w:t>
      </w:r>
    </w:p>
    <w:p w14:paraId="1A42327C" w14:textId="77777777" w:rsidR="008D15F0" w:rsidRPr="00305AEB" w:rsidRDefault="008D15F0" w:rsidP="00186726">
      <w:pPr>
        <w:tabs>
          <w:tab w:val="left" w:pos="7371"/>
          <w:tab w:val="right" w:pos="8080"/>
        </w:tabs>
        <w:rPr>
          <w:rFonts w:cs="Tahoma"/>
          <w:szCs w:val="20"/>
        </w:rPr>
      </w:pPr>
      <w:r w:rsidRPr="00305AEB">
        <w:rPr>
          <w:rFonts w:cs="Tahoma"/>
          <w:szCs w:val="20"/>
        </w:rPr>
        <w:t>Qualora sull'investimento estero sussistano più diritti reali, ad esempio, nuda proprietà e usufrutto, sono tenuti alla compilazione del quadro RW sia il titolare del diritto di usufrutto che il titolare della nuda proprietà (C.M. n. 45/E del 2010; risposta interpello n. 384/2019).</w:t>
      </w:r>
    </w:p>
    <w:p w14:paraId="78978B65" w14:textId="77777777" w:rsidR="000D3611" w:rsidRPr="00305AEB" w:rsidRDefault="000D3611" w:rsidP="00186726">
      <w:pPr>
        <w:pStyle w:val="NUOVOSOTTOPARAGRAFO"/>
        <w:rPr>
          <w:rFonts w:cs="Tahoma"/>
        </w:rPr>
      </w:pPr>
    </w:p>
    <w:p w14:paraId="68CBA56A" w14:textId="77777777" w:rsidR="008D15F0" w:rsidRPr="00305AEB" w:rsidRDefault="008D15F0" w:rsidP="00186726">
      <w:pPr>
        <w:pStyle w:val="NUOVOSOTTOPARAGRAFO"/>
        <w:rPr>
          <w:rFonts w:cs="Tahoma"/>
        </w:rPr>
      </w:pPr>
      <w:bookmarkStart w:id="147" w:name="_Toc161933209"/>
      <w:r w:rsidRPr="00305AEB">
        <w:rPr>
          <w:rFonts w:cs="Tahoma"/>
        </w:rPr>
        <w:t>8.1.3 Attività estere di natura finanziaria</w:t>
      </w:r>
      <w:bookmarkEnd w:id="147"/>
    </w:p>
    <w:p w14:paraId="6795B9EF" w14:textId="77777777" w:rsidR="008D15F0" w:rsidRPr="00305AEB" w:rsidRDefault="008D15F0" w:rsidP="00186726">
      <w:pPr>
        <w:tabs>
          <w:tab w:val="left" w:pos="7371"/>
          <w:tab w:val="right" w:pos="8080"/>
        </w:tabs>
        <w:rPr>
          <w:rFonts w:cs="Tahoma"/>
          <w:szCs w:val="20"/>
        </w:rPr>
      </w:pPr>
      <w:r w:rsidRPr="00305AEB">
        <w:rPr>
          <w:rFonts w:cs="Tahoma"/>
          <w:szCs w:val="20"/>
        </w:rPr>
        <w:t xml:space="preserve">Le </w:t>
      </w:r>
      <w:r w:rsidRPr="00305AEB">
        <w:rPr>
          <w:rFonts w:cs="Tahoma"/>
          <w:b/>
          <w:szCs w:val="20"/>
        </w:rPr>
        <w:t>attività estere di natura finanziaria</w:t>
      </w:r>
      <w:r w:rsidRPr="00305AEB">
        <w:rPr>
          <w:rFonts w:cs="Tahoma"/>
          <w:szCs w:val="20"/>
        </w:rPr>
        <w:t xml:space="preserve"> che sono oggetto di segnalazione all’interno del quadro RW sono le seguenti:</w:t>
      </w:r>
    </w:p>
    <w:p w14:paraId="760AEB46" w14:textId="77777777" w:rsidR="008D15F0" w:rsidRPr="00305AEB" w:rsidRDefault="008D15F0" w:rsidP="00186726">
      <w:pPr>
        <w:pStyle w:val="Paragrafoelenco"/>
        <w:numPr>
          <w:ilvl w:val="0"/>
          <w:numId w:val="46"/>
        </w:numPr>
        <w:tabs>
          <w:tab w:val="left" w:pos="7371"/>
          <w:tab w:val="right" w:pos="8080"/>
        </w:tabs>
        <w:rPr>
          <w:rFonts w:cs="Tahoma"/>
          <w:szCs w:val="20"/>
        </w:rPr>
      </w:pPr>
      <w:r w:rsidRPr="00305AEB">
        <w:rPr>
          <w:rFonts w:cs="Tahoma"/>
          <w:szCs w:val="20"/>
        </w:rPr>
        <w:t>attività i cui redditi sono corrisposti da soggetti non residenti, tra cui, partecipazioni al capitale o al patrimonio di soggetti non residenti (ad esempio, società estere, entità giuridiche quali fondazioni estere e trust esteri), obbligazioni estere e titoli similari, titoli pubblici italiani e titoli equiparati emessi all'estero, titoli non rappresentativi di merce e certificati di massa emessi da non residenti (comprese le quote di OICR esteri), valute estere, depositi e conti correnti bancari costituiti all'estero indipendentemente dalle modalità di alimentazione (ad esempio, accrediti di stipendi, di pensione o di compensi);</w:t>
      </w:r>
    </w:p>
    <w:p w14:paraId="1BF0DA63" w14:textId="77777777" w:rsidR="008D15F0" w:rsidRPr="00305AEB" w:rsidRDefault="008D15F0" w:rsidP="00186726">
      <w:pPr>
        <w:pStyle w:val="Paragrafoelenco"/>
        <w:numPr>
          <w:ilvl w:val="0"/>
          <w:numId w:val="46"/>
        </w:numPr>
        <w:tabs>
          <w:tab w:val="left" w:pos="7371"/>
          <w:tab w:val="right" w:pos="8080"/>
        </w:tabs>
        <w:rPr>
          <w:rFonts w:cs="Tahoma"/>
          <w:szCs w:val="20"/>
        </w:rPr>
      </w:pPr>
      <w:r w:rsidRPr="00305AEB">
        <w:rPr>
          <w:rFonts w:cs="Tahoma"/>
          <w:szCs w:val="20"/>
        </w:rPr>
        <w:t>contratti di natura finanziaria stipulati con controparti non residenti, tra cui, finanziamenti, riporti, pronti contro termine e prestito titoli, nonché polizze di assicurazione sulla vita e di capitalizzazione stipulate con compagnie di assicurazione estere;</w:t>
      </w:r>
    </w:p>
    <w:p w14:paraId="01F6C87B" w14:textId="77777777" w:rsidR="008D15F0" w:rsidRPr="00305AEB" w:rsidRDefault="008D15F0" w:rsidP="00186726">
      <w:pPr>
        <w:pStyle w:val="Paragrafoelenco"/>
        <w:numPr>
          <w:ilvl w:val="0"/>
          <w:numId w:val="46"/>
        </w:numPr>
        <w:tabs>
          <w:tab w:val="left" w:pos="7371"/>
          <w:tab w:val="right" w:pos="8080"/>
        </w:tabs>
        <w:rPr>
          <w:rFonts w:cs="Tahoma"/>
          <w:szCs w:val="20"/>
        </w:rPr>
      </w:pPr>
      <w:r w:rsidRPr="00305AEB">
        <w:rPr>
          <w:rFonts w:cs="Tahoma"/>
          <w:szCs w:val="20"/>
        </w:rPr>
        <w:t>contratti derivati e altri rapporti finanziari stipulati al di fuori del territorio dello Stato;</w:t>
      </w:r>
    </w:p>
    <w:p w14:paraId="7375D938" w14:textId="77777777" w:rsidR="008D15F0" w:rsidRPr="00305AEB" w:rsidRDefault="008D15F0" w:rsidP="00186726">
      <w:pPr>
        <w:pStyle w:val="Paragrafoelenco"/>
        <w:numPr>
          <w:ilvl w:val="0"/>
          <w:numId w:val="46"/>
        </w:numPr>
        <w:tabs>
          <w:tab w:val="left" w:pos="7371"/>
          <w:tab w:val="right" w:pos="8080"/>
        </w:tabs>
        <w:rPr>
          <w:rFonts w:cs="Tahoma"/>
          <w:szCs w:val="20"/>
        </w:rPr>
      </w:pPr>
      <w:r w:rsidRPr="00305AEB">
        <w:rPr>
          <w:rFonts w:cs="Tahoma"/>
          <w:szCs w:val="20"/>
        </w:rPr>
        <w:t>metalli preziosi allo stato grezzo o monetato detenuti all'estero;</w:t>
      </w:r>
    </w:p>
    <w:p w14:paraId="0B1B1E94" w14:textId="77777777" w:rsidR="008D15F0" w:rsidRPr="00305AEB" w:rsidRDefault="008D15F0" w:rsidP="00186726">
      <w:pPr>
        <w:pStyle w:val="Paragrafoelenco"/>
        <w:numPr>
          <w:ilvl w:val="0"/>
          <w:numId w:val="46"/>
        </w:numPr>
        <w:tabs>
          <w:tab w:val="left" w:pos="7371"/>
          <w:tab w:val="right" w:pos="8080"/>
        </w:tabs>
        <w:rPr>
          <w:rFonts w:cs="Tahoma"/>
          <w:szCs w:val="20"/>
        </w:rPr>
      </w:pPr>
      <w:r w:rsidRPr="00305AEB">
        <w:rPr>
          <w:rFonts w:cs="Tahoma"/>
          <w:szCs w:val="20"/>
        </w:rPr>
        <w:t>diritti all'acquisto o alla sottoscrizione di azioni estere o strumenti finanziari assimilati;</w:t>
      </w:r>
    </w:p>
    <w:p w14:paraId="2A70C718" w14:textId="77777777" w:rsidR="008D15F0" w:rsidRPr="00305AEB" w:rsidRDefault="008D15F0" w:rsidP="00186726">
      <w:pPr>
        <w:pStyle w:val="Paragrafoelenco"/>
        <w:numPr>
          <w:ilvl w:val="0"/>
          <w:numId w:val="46"/>
        </w:numPr>
        <w:tabs>
          <w:tab w:val="left" w:pos="7371"/>
          <w:tab w:val="right" w:pos="8080"/>
        </w:tabs>
        <w:rPr>
          <w:rFonts w:cs="Tahoma"/>
          <w:szCs w:val="20"/>
        </w:rPr>
      </w:pPr>
      <w:r w:rsidRPr="00305AEB">
        <w:rPr>
          <w:rFonts w:cs="Tahoma"/>
          <w:szCs w:val="20"/>
        </w:rPr>
        <w:t>forme di previdenza complementare organizzate o gestite da società ed enti di diritto estero.</w:t>
      </w:r>
    </w:p>
    <w:p w14:paraId="4392A774" w14:textId="77777777" w:rsidR="008D15F0" w:rsidRPr="00305AEB" w:rsidRDefault="008D15F0" w:rsidP="00186726">
      <w:pPr>
        <w:tabs>
          <w:tab w:val="left" w:pos="7371"/>
          <w:tab w:val="right" w:pos="8080"/>
        </w:tabs>
        <w:rPr>
          <w:rFonts w:cs="Tahoma"/>
          <w:szCs w:val="20"/>
        </w:rPr>
      </w:pPr>
      <w:r w:rsidRPr="00305AEB">
        <w:rPr>
          <w:rFonts w:cs="Tahoma"/>
          <w:szCs w:val="20"/>
        </w:rPr>
        <w:lastRenderedPageBreak/>
        <w:t xml:space="preserve">Devono essere indicate tutte le consistenze possedute all'estero direttamente o indirettamente a prescindere dal loro ammontare. </w:t>
      </w:r>
    </w:p>
    <w:p w14:paraId="6C2EEEC5" w14:textId="77777777" w:rsidR="008D15F0" w:rsidRPr="00305AEB" w:rsidRDefault="008D15F0" w:rsidP="00186726">
      <w:pPr>
        <w:tabs>
          <w:tab w:val="left" w:pos="7371"/>
          <w:tab w:val="right" w:pos="8080"/>
        </w:tabs>
        <w:rPr>
          <w:rFonts w:cs="Tahoma"/>
          <w:szCs w:val="20"/>
        </w:rPr>
      </w:pPr>
      <w:r w:rsidRPr="00305AEB">
        <w:rPr>
          <w:rFonts w:cs="Tahoma"/>
          <w:szCs w:val="20"/>
        </w:rPr>
        <w:t>Secondo la risposta interpello Agenzia delle Entrate n. 386 del 2019, deve essere indicato nel quadro RW anche il credito che una persona fisica residente in Italia possiede a seguito della sostituzione di obbligazioni emesse da una società estera in default.</w:t>
      </w:r>
    </w:p>
    <w:p w14:paraId="5F8AEF67" w14:textId="77777777" w:rsidR="008D15F0" w:rsidRPr="00305AEB" w:rsidRDefault="008D15F0" w:rsidP="00186726">
      <w:pPr>
        <w:tabs>
          <w:tab w:val="left" w:pos="7371"/>
          <w:tab w:val="right" w:pos="8080"/>
        </w:tabs>
        <w:rPr>
          <w:rFonts w:cs="Tahoma"/>
          <w:szCs w:val="20"/>
        </w:rPr>
      </w:pPr>
      <w:r w:rsidRPr="00305AEB">
        <w:rPr>
          <w:rFonts w:cs="Tahoma"/>
          <w:szCs w:val="20"/>
        </w:rPr>
        <w:t>L'unica eccezione al principio che prevede il monitoraggio a prescindere dall'importo detenuto all'estero è rappresentata dai depositi e dai conti correnti esteri i quali, possono non essere dichiarati se complessivamente di importo inferiore a 15.000,00 euro.</w:t>
      </w:r>
    </w:p>
    <w:p w14:paraId="700F3BB9" w14:textId="77777777" w:rsidR="008D15F0" w:rsidRPr="00305AEB" w:rsidRDefault="008D15F0" w:rsidP="00186726">
      <w:pPr>
        <w:tabs>
          <w:tab w:val="left" w:pos="7371"/>
          <w:tab w:val="right" w:pos="8080"/>
        </w:tabs>
        <w:rPr>
          <w:rFonts w:cs="Tahoma"/>
          <w:szCs w:val="20"/>
        </w:rPr>
      </w:pPr>
      <w:r w:rsidRPr="00305AEB">
        <w:rPr>
          <w:rFonts w:cs="Tahoma"/>
          <w:szCs w:val="20"/>
        </w:rPr>
        <w:t>Vediamo ora alcune casistiche particolari:</w:t>
      </w:r>
    </w:p>
    <w:tbl>
      <w:tblPr>
        <w:tblStyle w:val="Grigliatabella"/>
        <w:tblW w:w="9469" w:type="dxa"/>
        <w:tblLook w:val="04A0" w:firstRow="1" w:lastRow="0" w:firstColumn="1" w:lastColumn="0" w:noHBand="0" w:noVBand="1"/>
      </w:tblPr>
      <w:tblGrid>
        <w:gridCol w:w="2660"/>
        <w:gridCol w:w="6809"/>
      </w:tblGrid>
      <w:tr w:rsidR="008D15F0" w:rsidRPr="00305AEB" w14:paraId="46B71957" w14:textId="77777777" w:rsidTr="000D3611">
        <w:tc>
          <w:tcPr>
            <w:tcW w:w="2660" w:type="dxa"/>
            <w:shd w:val="clear" w:color="auto" w:fill="DBE5F1" w:themeFill="accent1" w:themeFillTint="33"/>
          </w:tcPr>
          <w:p w14:paraId="13732B56" w14:textId="77777777" w:rsidR="008D15F0" w:rsidRPr="00E22CE6" w:rsidRDefault="008D15F0" w:rsidP="00E74279">
            <w:pPr>
              <w:tabs>
                <w:tab w:val="left" w:pos="7371"/>
                <w:tab w:val="right" w:pos="8080"/>
              </w:tabs>
              <w:spacing w:before="60" w:after="60" w:line="326" w:lineRule="auto"/>
              <w:rPr>
                <w:rFonts w:cs="Tahoma"/>
                <w:b/>
                <w:spacing w:val="-4"/>
                <w:szCs w:val="20"/>
              </w:rPr>
            </w:pPr>
            <w:r w:rsidRPr="00E22CE6">
              <w:rPr>
                <w:rFonts w:cs="Tahoma"/>
                <w:b/>
                <w:spacing w:val="-4"/>
                <w:szCs w:val="20"/>
              </w:rPr>
              <w:t>Conti correnti cointestati e deleghe di firma</w:t>
            </w:r>
          </w:p>
        </w:tc>
        <w:tc>
          <w:tcPr>
            <w:tcW w:w="6809" w:type="dxa"/>
          </w:tcPr>
          <w:p w14:paraId="445230EC" w14:textId="77777777" w:rsidR="008D15F0" w:rsidRPr="00305AEB" w:rsidRDefault="008D15F0" w:rsidP="00E74279">
            <w:pPr>
              <w:tabs>
                <w:tab w:val="left" w:pos="7371"/>
                <w:tab w:val="right" w:pos="8080"/>
              </w:tabs>
              <w:spacing w:before="60" w:after="60" w:line="326" w:lineRule="auto"/>
              <w:rPr>
                <w:rFonts w:cs="Tahoma"/>
                <w:szCs w:val="20"/>
              </w:rPr>
            </w:pPr>
            <w:r w:rsidRPr="00305AEB">
              <w:rPr>
                <w:rFonts w:cs="Tahoma"/>
                <w:szCs w:val="20"/>
              </w:rPr>
              <w:t>Per effetto dei consolidati orientamenti giurisprudenziali, sono tenuti agli obblighi di monitoraggio non solo i titolari delle attività detenute all’estero, ma anche coloro che ne hanno la disponibilità o la possibilità di movimentazione (C.M. n. 45/E del 2010).</w:t>
            </w:r>
          </w:p>
          <w:p w14:paraId="202BADCB" w14:textId="77777777" w:rsidR="008D15F0" w:rsidRPr="00305AEB" w:rsidRDefault="008D15F0" w:rsidP="00E74279">
            <w:pPr>
              <w:tabs>
                <w:tab w:val="left" w:pos="7371"/>
                <w:tab w:val="right" w:pos="8080"/>
              </w:tabs>
              <w:spacing w:before="60" w:after="60" w:line="326" w:lineRule="auto"/>
              <w:rPr>
                <w:rFonts w:cs="Tahoma"/>
                <w:szCs w:val="20"/>
              </w:rPr>
            </w:pPr>
            <w:r w:rsidRPr="00305AEB">
              <w:rPr>
                <w:rFonts w:cs="Tahoma"/>
                <w:szCs w:val="20"/>
              </w:rPr>
              <w:t>Analoghe conseguenze si determinano in caso di conto corrente estero intestato ad un soggetto residente sul quale vi è la delega di firma di un altro soggetto residente; in tal caso, anche il delegato è tenuto alla compilazione del quadro RW per l'indicazione dell'intera consistenza del conto corrente detenuto all'estero, qualora si tratti di una delega al prelievo e non soltanto di una mera delega ad operare per conto dell'intestatario.</w:t>
            </w:r>
          </w:p>
        </w:tc>
      </w:tr>
      <w:tr w:rsidR="008D15F0" w:rsidRPr="00305AEB" w14:paraId="1E6A166A" w14:textId="77777777" w:rsidTr="000D3611">
        <w:tc>
          <w:tcPr>
            <w:tcW w:w="2660" w:type="dxa"/>
            <w:shd w:val="clear" w:color="auto" w:fill="DBE5F1" w:themeFill="accent1" w:themeFillTint="33"/>
          </w:tcPr>
          <w:p w14:paraId="7953FB37" w14:textId="77777777" w:rsidR="008D15F0" w:rsidRPr="00E22CE6" w:rsidRDefault="008D15F0" w:rsidP="00E74279">
            <w:pPr>
              <w:tabs>
                <w:tab w:val="left" w:pos="7371"/>
                <w:tab w:val="right" w:pos="8080"/>
              </w:tabs>
              <w:spacing w:before="60" w:after="60" w:line="326" w:lineRule="auto"/>
              <w:rPr>
                <w:rFonts w:cs="Tahoma"/>
                <w:b/>
                <w:spacing w:val="-4"/>
                <w:szCs w:val="20"/>
              </w:rPr>
            </w:pPr>
            <w:r w:rsidRPr="00E22CE6">
              <w:rPr>
                <w:rFonts w:cs="Tahoma"/>
                <w:b/>
                <w:spacing w:val="-4"/>
                <w:szCs w:val="20"/>
              </w:rPr>
              <w:t>Cassette di sicurezza detenute all’estero</w:t>
            </w:r>
          </w:p>
        </w:tc>
        <w:tc>
          <w:tcPr>
            <w:tcW w:w="6809" w:type="dxa"/>
          </w:tcPr>
          <w:p w14:paraId="25D95A4E" w14:textId="77777777" w:rsidR="008D15F0" w:rsidRPr="00305AEB" w:rsidRDefault="008D15F0" w:rsidP="00E74279">
            <w:pPr>
              <w:tabs>
                <w:tab w:val="left" w:pos="7371"/>
                <w:tab w:val="right" w:pos="8080"/>
              </w:tabs>
              <w:spacing w:before="60" w:after="60" w:line="326" w:lineRule="auto"/>
              <w:rPr>
                <w:rFonts w:cs="Tahoma"/>
                <w:szCs w:val="20"/>
              </w:rPr>
            </w:pPr>
            <w:r w:rsidRPr="00305AEB">
              <w:rPr>
                <w:rFonts w:cs="Tahoma"/>
                <w:szCs w:val="20"/>
              </w:rPr>
              <w:t>Le attività finanziarie detenute all'estero vanno indicate nel quadro RW anche se immesse in cassette di sicurezza. Inoltre, sono soggette al medesimo obbligo anche le attività finanziarie estere detenute in Italia al di fuori del circuito degli intermediari residenti.</w:t>
            </w:r>
          </w:p>
        </w:tc>
      </w:tr>
      <w:tr w:rsidR="008D15F0" w:rsidRPr="00305AEB" w14:paraId="439E2AF2" w14:textId="77777777" w:rsidTr="000D3611">
        <w:tc>
          <w:tcPr>
            <w:tcW w:w="2660" w:type="dxa"/>
            <w:shd w:val="clear" w:color="auto" w:fill="DBE5F1" w:themeFill="accent1" w:themeFillTint="33"/>
          </w:tcPr>
          <w:p w14:paraId="66EA9D33" w14:textId="77777777" w:rsidR="008D15F0" w:rsidRPr="00E22CE6" w:rsidRDefault="008D15F0" w:rsidP="00E74279">
            <w:pPr>
              <w:tabs>
                <w:tab w:val="left" w:pos="7371"/>
                <w:tab w:val="right" w:pos="8080"/>
              </w:tabs>
              <w:spacing w:before="60" w:after="60" w:line="326" w:lineRule="auto"/>
              <w:rPr>
                <w:rFonts w:cs="Tahoma"/>
                <w:b/>
                <w:spacing w:val="-4"/>
                <w:szCs w:val="20"/>
              </w:rPr>
            </w:pPr>
            <w:r w:rsidRPr="00E22CE6">
              <w:rPr>
                <w:rFonts w:cs="Tahoma"/>
                <w:b/>
                <w:spacing w:val="-4"/>
                <w:szCs w:val="20"/>
              </w:rPr>
              <w:t>Attività finanziarie italiane detenute all’estero e società fiduciarie non residenti</w:t>
            </w:r>
          </w:p>
        </w:tc>
        <w:tc>
          <w:tcPr>
            <w:tcW w:w="6809" w:type="dxa"/>
          </w:tcPr>
          <w:p w14:paraId="519D8C50" w14:textId="77777777" w:rsidR="008D15F0" w:rsidRPr="00305AEB" w:rsidRDefault="008D15F0" w:rsidP="00E74279">
            <w:pPr>
              <w:tabs>
                <w:tab w:val="left" w:pos="7371"/>
                <w:tab w:val="right" w:pos="8080"/>
              </w:tabs>
              <w:spacing w:before="60" w:after="60" w:line="326" w:lineRule="auto"/>
              <w:rPr>
                <w:rFonts w:cs="Tahoma"/>
                <w:szCs w:val="20"/>
              </w:rPr>
            </w:pPr>
            <w:r w:rsidRPr="00305AEB">
              <w:rPr>
                <w:rFonts w:cs="Tahoma"/>
                <w:szCs w:val="20"/>
              </w:rPr>
              <w:t>Devono essere indicate nel quadro RW le attività finanziarie italiane detenute all'estero - ossia, ad esempio, - i titoli pubblici ed equiparati emessi in Italia, le partecipazioni in soggetti residenti ed altri strumenti finanziari emessi da soggetti residenti (C.M. n. 38/E del 2013).</w:t>
            </w:r>
          </w:p>
          <w:p w14:paraId="241CAA49" w14:textId="77777777" w:rsidR="008D15F0" w:rsidRPr="00305AEB" w:rsidRDefault="008D15F0" w:rsidP="00E74279">
            <w:pPr>
              <w:tabs>
                <w:tab w:val="left" w:pos="7371"/>
                <w:tab w:val="right" w:pos="8080"/>
              </w:tabs>
              <w:spacing w:before="60" w:after="60" w:line="326" w:lineRule="auto"/>
              <w:rPr>
                <w:rFonts w:cs="Tahoma"/>
                <w:szCs w:val="20"/>
              </w:rPr>
            </w:pPr>
            <w:r w:rsidRPr="00305AEB">
              <w:rPr>
                <w:rFonts w:cs="Tahoma"/>
                <w:szCs w:val="20"/>
              </w:rPr>
              <w:t>Secondo l’Amministrazione finanziaria, si considerano detenute all’estero anche le attività finanziarie italiane:</w:t>
            </w:r>
          </w:p>
          <w:p w14:paraId="7ABD8876" w14:textId="77777777" w:rsidR="008D15F0" w:rsidRPr="00305AEB" w:rsidRDefault="008D15F0" w:rsidP="00E74279">
            <w:pPr>
              <w:pStyle w:val="Paragrafoelenco"/>
              <w:numPr>
                <w:ilvl w:val="0"/>
                <w:numId w:val="47"/>
              </w:numPr>
              <w:tabs>
                <w:tab w:val="left" w:pos="7371"/>
                <w:tab w:val="right" w:pos="8080"/>
              </w:tabs>
              <w:spacing w:before="60" w:after="60" w:line="326" w:lineRule="auto"/>
              <w:rPr>
                <w:rFonts w:cs="Tahoma"/>
                <w:szCs w:val="20"/>
              </w:rPr>
            </w:pPr>
            <w:r w:rsidRPr="00305AEB">
              <w:rPr>
                <w:rFonts w:cs="Tahoma"/>
                <w:szCs w:val="20"/>
              </w:rPr>
              <w:t>depositate presso le filiali estere di banche o di altri intermediari residenti in Italia;</w:t>
            </w:r>
          </w:p>
          <w:p w14:paraId="5428FDD1" w14:textId="77777777" w:rsidR="008D15F0" w:rsidRPr="00305AEB" w:rsidRDefault="008D15F0" w:rsidP="00E74279">
            <w:pPr>
              <w:pStyle w:val="Paragrafoelenco"/>
              <w:numPr>
                <w:ilvl w:val="0"/>
                <w:numId w:val="47"/>
              </w:numPr>
              <w:tabs>
                <w:tab w:val="left" w:pos="7371"/>
                <w:tab w:val="right" w:pos="8080"/>
              </w:tabs>
              <w:spacing w:before="60" w:after="60" w:line="326" w:lineRule="auto"/>
              <w:rPr>
                <w:rFonts w:cs="Tahoma"/>
                <w:szCs w:val="20"/>
              </w:rPr>
            </w:pPr>
            <w:r w:rsidRPr="00305AEB">
              <w:rPr>
                <w:rFonts w:cs="Tahoma"/>
                <w:szCs w:val="20"/>
              </w:rPr>
              <w:t>intestate a società fiduciarie o ad altre persone interposte non residenti.</w:t>
            </w:r>
          </w:p>
        </w:tc>
      </w:tr>
      <w:tr w:rsidR="008D15F0" w:rsidRPr="00305AEB" w14:paraId="46457F72" w14:textId="77777777" w:rsidTr="000D3611">
        <w:tc>
          <w:tcPr>
            <w:tcW w:w="2660" w:type="dxa"/>
            <w:shd w:val="clear" w:color="auto" w:fill="DBE5F1" w:themeFill="accent1" w:themeFillTint="33"/>
          </w:tcPr>
          <w:p w14:paraId="25E24E99" w14:textId="77777777" w:rsidR="008D15F0" w:rsidRPr="00305AEB" w:rsidRDefault="008D15F0" w:rsidP="00E74279">
            <w:pPr>
              <w:tabs>
                <w:tab w:val="left" w:pos="7371"/>
                <w:tab w:val="right" w:pos="8080"/>
              </w:tabs>
              <w:spacing w:before="60" w:after="60" w:line="326" w:lineRule="auto"/>
              <w:rPr>
                <w:rFonts w:cs="Tahoma"/>
                <w:b/>
                <w:szCs w:val="20"/>
              </w:rPr>
            </w:pPr>
            <w:r w:rsidRPr="00305AEB">
              <w:rPr>
                <w:rFonts w:cs="Tahoma"/>
                <w:b/>
                <w:szCs w:val="20"/>
              </w:rPr>
              <w:lastRenderedPageBreak/>
              <w:t>Previdenza complementare</w:t>
            </w:r>
          </w:p>
        </w:tc>
        <w:tc>
          <w:tcPr>
            <w:tcW w:w="6809" w:type="dxa"/>
          </w:tcPr>
          <w:p w14:paraId="75EDFE66" w14:textId="77777777" w:rsidR="008D15F0" w:rsidRPr="00305AEB" w:rsidRDefault="008D15F0" w:rsidP="00E74279">
            <w:pPr>
              <w:tabs>
                <w:tab w:val="left" w:pos="7371"/>
                <w:tab w:val="right" w:pos="8080"/>
              </w:tabs>
              <w:spacing w:before="60" w:after="60" w:line="326" w:lineRule="auto"/>
              <w:rPr>
                <w:rFonts w:cs="Tahoma"/>
                <w:szCs w:val="20"/>
              </w:rPr>
            </w:pPr>
            <w:r w:rsidRPr="00305AEB">
              <w:rPr>
                <w:rFonts w:cs="Tahoma"/>
                <w:szCs w:val="20"/>
              </w:rPr>
              <w:t>Per quanto riguarda le forme di previdenza complementare organizzate o gestite da società ed enti di diritto estero, va indicata la posizione individuale maturata nel periodo d'imposta come risultante dalla documentazione rilasciata dal fondo.</w:t>
            </w:r>
          </w:p>
        </w:tc>
      </w:tr>
      <w:tr w:rsidR="008D15F0" w:rsidRPr="00305AEB" w14:paraId="00EBF4AE" w14:textId="77777777" w:rsidTr="000D3611">
        <w:tc>
          <w:tcPr>
            <w:tcW w:w="2660" w:type="dxa"/>
            <w:shd w:val="clear" w:color="auto" w:fill="DBE5F1" w:themeFill="accent1" w:themeFillTint="33"/>
          </w:tcPr>
          <w:p w14:paraId="733723EF" w14:textId="77777777" w:rsidR="008D15F0" w:rsidRPr="00305AEB" w:rsidRDefault="008D15F0" w:rsidP="00E74279">
            <w:pPr>
              <w:tabs>
                <w:tab w:val="left" w:pos="7371"/>
                <w:tab w:val="right" w:pos="8080"/>
              </w:tabs>
              <w:spacing w:before="60" w:after="60" w:line="326" w:lineRule="auto"/>
              <w:rPr>
                <w:rFonts w:cs="Tahoma"/>
                <w:b/>
                <w:szCs w:val="20"/>
              </w:rPr>
            </w:pPr>
            <w:r w:rsidRPr="00305AEB">
              <w:rPr>
                <w:rFonts w:cs="Tahoma"/>
                <w:b/>
                <w:szCs w:val="20"/>
              </w:rPr>
              <w:t>Dossier titoli</w:t>
            </w:r>
          </w:p>
        </w:tc>
        <w:tc>
          <w:tcPr>
            <w:tcW w:w="6809" w:type="dxa"/>
          </w:tcPr>
          <w:p w14:paraId="256A7AC4" w14:textId="77777777" w:rsidR="008D15F0" w:rsidRPr="00305AEB" w:rsidRDefault="008D15F0" w:rsidP="00E74279">
            <w:pPr>
              <w:tabs>
                <w:tab w:val="left" w:pos="7371"/>
                <w:tab w:val="right" w:pos="8080"/>
              </w:tabs>
              <w:spacing w:before="60" w:after="60" w:line="326" w:lineRule="auto"/>
              <w:rPr>
                <w:rFonts w:cs="Tahoma"/>
                <w:szCs w:val="20"/>
              </w:rPr>
            </w:pPr>
            <w:r w:rsidRPr="00305AEB">
              <w:rPr>
                <w:rFonts w:cs="Tahoma"/>
                <w:szCs w:val="20"/>
              </w:rPr>
              <w:t>Per i dossier titoli, in un'ottica di semplificazione, si devono indicare solo il valore iniziale e il valore finale del dossier (oltre, naturalmente, ai giorni di possesso), non rilevando le variazioni intervenute durante l'anno e, soprattutto, non rilevando la composizione del dossier; non occorre, quindi, compilare tanti righi del quadro quante sono le attività finanziarie ricomprese nel dossier</w:t>
            </w:r>
            <w:r w:rsidR="0069364A" w:rsidRPr="00305AEB">
              <w:rPr>
                <w:rFonts w:cs="Tahoma"/>
                <w:szCs w:val="20"/>
              </w:rPr>
              <w:t xml:space="preserve"> </w:t>
            </w:r>
            <w:r w:rsidRPr="00305AEB">
              <w:rPr>
                <w:rFonts w:cs="Tahoma"/>
                <w:szCs w:val="20"/>
              </w:rPr>
              <w:t>(C.M. n. 12/E del 2016).</w:t>
            </w:r>
          </w:p>
          <w:p w14:paraId="00F47D42" w14:textId="77777777" w:rsidR="008D15F0" w:rsidRPr="00305AEB" w:rsidRDefault="008D15F0" w:rsidP="00E74279">
            <w:pPr>
              <w:tabs>
                <w:tab w:val="left" w:pos="7371"/>
                <w:tab w:val="right" w:pos="8080"/>
              </w:tabs>
              <w:spacing w:before="60" w:after="60" w:line="326" w:lineRule="auto"/>
              <w:rPr>
                <w:rFonts w:cs="Tahoma"/>
                <w:szCs w:val="20"/>
              </w:rPr>
            </w:pPr>
            <w:r w:rsidRPr="00305AEB">
              <w:rPr>
                <w:rFonts w:cs="Tahoma"/>
                <w:szCs w:val="20"/>
              </w:rPr>
              <w:t xml:space="preserve">Nel caso in cui le variazioni della composizione della relazione finanziaria siano riconducibili ad un apporto di capitale (versamento contanti, conferimento titoli, ecc.), il momento di avvenuta variazione dovrà essere considerato come discriminante temporale da cui far discendere un nuovo adempimento dichiarativo. </w:t>
            </w:r>
          </w:p>
          <w:p w14:paraId="3E760E77" w14:textId="77777777" w:rsidR="008D15F0" w:rsidRPr="00305AEB" w:rsidRDefault="008D15F0" w:rsidP="00E74279">
            <w:pPr>
              <w:tabs>
                <w:tab w:val="left" w:pos="7371"/>
                <w:tab w:val="right" w:pos="8080"/>
              </w:tabs>
              <w:spacing w:before="60" w:after="60" w:line="326" w:lineRule="auto"/>
              <w:rPr>
                <w:rFonts w:cs="Tahoma"/>
                <w:szCs w:val="20"/>
              </w:rPr>
            </w:pPr>
            <w:r w:rsidRPr="00305AEB">
              <w:rPr>
                <w:rFonts w:cs="Tahoma"/>
                <w:szCs w:val="20"/>
              </w:rPr>
              <w:t>In questa circostanza, gli adempimenti dichiarativi previsti, seppur inerenti alla medesima relazione finanziaria, saranno duplici:</w:t>
            </w:r>
          </w:p>
          <w:p w14:paraId="5215BBA1" w14:textId="77777777" w:rsidR="008D15F0" w:rsidRPr="00305AEB" w:rsidRDefault="008D15F0" w:rsidP="00E74279">
            <w:pPr>
              <w:pStyle w:val="Paragrafoelenco"/>
              <w:numPr>
                <w:ilvl w:val="0"/>
                <w:numId w:val="48"/>
              </w:numPr>
              <w:tabs>
                <w:tab w:val="left" w:pos="7371"/>
                <w:tab w:val="right" w:pos="8080"/>
              </w:tabs>
              <w:spacing w:before="60" w:after="60" w:line="326" w:lineRule="auto"/>
              <w:rPr>
                <w:rFonts w:cs="Tahoma"/>
                <w:szCs w:val="20"/>
              </w:rPr>
            </w:pPr>
            <w:r w:rsidRPr="00305AEB">
              <w:rPr>
                <w:rFonts w:cs="Tahoma"/>
                <w:szCs w:val="20"/>
              </w:rPr>
              <w:t>si dovrà indicare in un rigo il valore iniziale e il valore finale di detenzione immediatamente antecedente al momento dell'apporto;</w:t>
            </w:r>
          </w:p>
          <w:p w14:paraId="26CBF0F9" w14:textId="77777777" w:rsidR="008D15F0" w:rsidRPr="00305AEB" w:rsidRDefault="008D15F0" w:rsidP="00E74279">
            <w:pPr>
              <w:pStyle w:val="Paragrafoelenco"/>
              <w:numPr>
                <w:ilvl w:val="0"/>
                <w:numId w:val="48"/>
              </w:numPr>
              <w:tabs>
                <w:tab w:val="left" w:pos="7371"/>
                <w:tab w:val="right" w:pos="8080"/>
              </w:tabs>
              <w:spacing w:before="60" w:after="60" w:line="326" w:lineRule="auto"/>
              <w:rPr>
                <w:rFonts w:cs="Tahoma"/>
                <w:szCs w:val="20"/>
              </w:rPr>
            </w:pPr>
            <w:r w:rsidRPr="00305AEB">
              <w:rPr>
                <w:rFonts w:cs="Tahoma"/>
                <w:szCs w:val="20"/>
              </w:rPr>
              <w:t>in un nuovo rigo, successivamente, si dovrà indicare il valore iniziale di detenzione successivo al momento dell'apporto e il valore finale.</w:t>
            </w:r>
          </w:p>
          <w:p w14:paraId="78E83FFE" w14:textId="77777777" w:rsidR="008D15F0" w:rsidRPr="00305AEB" w:rsidRDefault="008D15F0" w:rsidP="00E74279">
            <w:pPr>
              <w:tabs>
                <w:tab w:val="left" w:pos="7371"/>
                <w:tab w:val="right" w:pos="8080"/>
              </w:tabs>
              <w:spacing w:before="60" w:after="60" w:line="326" w:lineRule="auto"/>
              <w:rPr>
                <w:rFonts w:cs="Tahoma"/>
                <w:szCs w:val="20"/>
              </w:rPr>
            </w:pPr>
            <w:r w:rsidRPr="00305AEB">
              <w:rPr>
                <w:rFonts w:cs="Tahoma"/>
                <w:szCs w:val="20"/>
              </w:rPr>
              <w:t>Inoltre, secondo quanto indicato dalle istruzioni al modello REDDITI, il criterio prioritario per la valorizzazione delle attività finanziarie da indicare nel quadro RW deve essere il valore che risulta dal documento di rendicontazione predisposto dall'istituto finanziario estero o al valore di mercato, in sostanza coincidenti.</w:t>
            </w:r>
          </w:p>
        </w:tc>
      </w:tr>
      <w:tr w:rsidR="008D15F0" w:rsidRPr="00305AEB" w14:paraId="24AD73C4" w14:textId="77777777" w:rsidTr="000D3611">
        <w:tc>
          <w:tcPr>
            <w:tcW w:w="2660" w:type="dxa"/>
            <w:shd w:val="clear" w:color="auto" w:fill="DBE5F1" w:themeFill="accent1" w:themeFillTint="33"/>
          </w:tcPr>
          <w:p w14:paraId="77165EFF" w14:textId="77777777" w:rsidR="008D15F0" w:rsidRPr="00305AEB" w:rsidRDefault="008D15F0" w:rsidP="00E74279">
            <w:pPr>
              <w:tabs>
                <w:tab w:val="left" w:pos="7371"/>
                <w:tab w:val="right" w:pos="8080"/>
              </w:tabs>
              <w:spacing w:before="60" w:after="60" w:line="326" w:lineRule="auto"/>
              <w:rPr>
                <w:rFonts w:cs="Tahoma"/>
                <w:b/>
                <w:szCs w:val="20"/>
              </w:rPr>
            </w:pPr>
            <w:r w:rsidRPr="00305AEB">
              <w:rPr>
                <w:rFonts w:cs="Tahoma"/>
                <w:b/>
                <w:szCs w:val="20"/>
              </w:rPr>
              <w:t>Valute virtuali</w:t>
            </w:r>
          </w:p>
        </w:tc>
        <w:tc>
          <w:tcPr>
            <w:tcW w:w="6809" w:type="dxa"/>
          </w:tcPr>
          <w:p w14:paraId="304747C9" w14:textId="77777777" w:rsidR="008D15F0" w:rsidRPr="00305AEB" w:rsidRDefault="008D15F0" w:rsidP="00E74279">
            <w:pPr>
              <w:tabs>
                <w:tab w:val="left" w:pos="7371"/>
                <w:tab w:val="right" w:pos="8080"/>
              </w:tabs>
              <w:spacing w:before="60" w:after="60" w:line="326" w:lineRule="auto"/>
              <w:rPr>
                <w:rFonts w:cs="Tahoma"/>
                <w:szCs w:val="20"/>
              </w:rPr>
            </w:pPr>
            <w:r w:rsidRPr="00305AEB">
              <w:rPr>
                <w:rFonts w:cs="Tahoma"/>
                <w:szCs w:val="20"/>
              </w:rPr>
              <w:t>Le istruzioni al modello REDDITI precisano che le valute virtuali (tra cui vi sono le criptovalute e i Bitcoin) devono essere indicate nel quadro RW.</w:t>
            </w:r>
          </w:p>
          <w:p w14:paraId="3999C5A8" w14:textId="77777777" w:rsidR="008D15F0" w:rsidRPr="00305AEB" w:rsidRDefault="008D15F0" w:rsidP="00E74279">
            <w:pPr>
              <w:tabs>
                <w:tab w:val="left" w:pos="7371"/>
                <w:tab w:val="right" w:pos="8080"/>
              </w:tabs>
              <w:spacing w:before="60" w:after="60" w:line="326" w:lineRule="auto"/>
              <w:rPr>
                <w:rFonts w:cs="Tahoma"/>
                <w:szCs w:val="20"/>
              </w:rPr>
            </w:pPr>
            <w:r w:rsidRPr="00305AEB">
              <w:rPr>
                <w:rFonts w:cs="Tahoma"/>
                <w:szCs w:val="20"/>
              </w:rPr>
              <w:t>La criptovaluta deve essere segnalata all'interno del quadro RW nella colonna 3 (codice individuazione bene) con il codice "14" denominato "Altre attività estere di natura finanziaria" richiama anche le "valute virtuali".</w:t>
            </w:r>
          </w:p>
          <w:p w14:paraId="5B409D7D" w14:textId="77777777" w:rsidR="008D15F0" w:rsidRPr="00305AEB" w:rsidRDefault="008D15F0" w:rsidP="00E74279">
            <w:pPr>
              <w:tabs>
                <w:tab w:val="left" w:pos="7371"/>
                <w:tab w:val="right" w:pos="8080"/>
              </w:tabs>
              <w:spacing w:before="60" w:after="60" w:line="326" w:lineRule="auto"/>
              <w:rPr>
                <w:rFonts w:cs="Tahoma"/>
                <w:szCs w:val="20"/>
              </w:rPr>
            </w:pPr>
            <w:r w:rsidRPr="00305AEB">
              <w:rPr>
                <w:rFonts w:cs="Tahoma"/>
                <w:szCs w:val="20"/>
              </w:rPr>
              <w:t>Inoltre, le istruzioni chiariscono che il codice dello Stato estero (colonna 4) non è obbligatorio nel caso di compilazione del quadro RW per dichiarare "valute virtuali".</w:t>
            </w:r>
          </w:p>
          <w:p w14:paraId="58E6ADFC" w14:textId="77777777" w:rsidR="008D15F0" w:rsidRPr="00305AEB" w:rsidRDefault="008D15F0" w:rsidP="00E74279">
            <w:pPr>
              <w:tabs>
                <w:tab w:val="left" w:pos="7371"/>
                <w:tab w:val="right" w:pos="8080"/>
              </w:tabs>
              <w:spacing w:before="60" w:after="60" w:line="326" w:lineRule="auto"/>
              <w:rPr>
                <w:rFonts w:cs="Tahoma"/>
                <w:szCs w:val="20"/>
              </w:rPr>
            </w:pPr>
            <w:r w:rsidRPr="00305AEB">
              <w:rPr>
                <w:rFonts w:cs="Tahoma"/>
                <w:szCs w:val="20"/>
              </w:rPr>
              <w:t xml:space="preserve">Il controvalore in euro della valuta virtuale detenuta al 31 dicembre del periodo di riferimento deve essere determinato al cambio indicato a tale data sul sito dove il contribuente ha acquistato la valuta virtuale. Negli anni </w:t>
            </w:r>
            <w:r w:rsidRPr="00305AEB">
              <w:rPr>
                <w:rFonts w:cs="Tahoma"/>
                <w:szCs w:val="20"/>
              </w:rPr>
              <w:lastRenderedPageBreak/>
              <w:t>successivi, il contribuente dovrà indicare il controvalore detenuto alla fine di ciascun anno o alla data di vendita nel caso di valuta virtuale vendute in corso d'anno.</w:t>
            </w:r>
          </w:p>
        </w:tc>
      </w:tr>
    </w:tbl>
    <w:p w14:paraId="7964279D" w14:textId="77777777" w:rsidR="00E74279" w:rsidRDefault="00E74279" w:rsidP="000F7D8F">
      <w:pPr>
        <w:pStyle w:val="NUOVOSOTTOPARAGRAFO"/>
        <w:rPr>
          <w:rFonts w:cs="Tahoma"/>
        </w:rPr>
      </w:pPr>
    </w:p>
    <w:p w14:paraId="5637EC70" w14:textId="6595CFB1" w:rsidR="008D15F0" w:rsidRPr="00305AEB" w:rsidRDefault="008D15F0" w:rsidP="00186726">
      <w:pPr>
        <w:pStyle w:val="NUOVOSOTTOPARAGRAFO"/>
        <w:rPr>
          <w:rFonts w:cs="Tahoma"/>
        </w:rPr>
      </w:pPr>
      <w:bookmarkStart w:id="148" w:name="_Toc161933210"/>
      <w:r w:rsidRPr="00305AEB">
        <w:rPr>
          <w:rFonts w:cs="Tahoma"/>
        </w:rPr>
        <w:t>8.1.4 Attività patrimoniali situate all’estero</w:t>
      </w:r>
      <w:bookmarkEnd w:id="148"/>
    </w:p>
    <w:p w14:paraId="3A76589C" w14:textId="77777777" w:rsidR="008D15F0" w:rsidRPr="00305AEB" w:rsidRDefault="008D15F0" w:rsidP="00186726">
      <w:pPr>
        <w:tabs>
          <w:tab w:val="left" w:pos="7371"/>
          <w:tab w:val="right" w:pos="8080"/>
        </w:tabs>
        <w:rPr>
          <w:rFonts w:cs="Tahoma"/>
          <w:szCs w:val="20"/>
        </w:rPr>
      </w:pPr>
      <w:r w:rsidRPr="00305AEB">
        <w:rPr>
          <w:rFonts w:cs="Tahoma"/>
          <w:szCs w:val="20"/>
        </w:rPr>
        <w:t>Secondo la prassi dell’Agenzia delle Entrate, sono considerate attività estere di natura patrimoniale da indicare nel quadro RW (C.M. n. 38/E del 2013; C.M. n. 43/E del 2009; C.M n. 43/E del 2009; C.M. n. 85/E del 2001; R.M. n. 134/E del 2002):</w:t>
      </w:r>
    </w:p>
    <w:p w14:paraId="69321CEE" w14:textId="77777777" w:rsidR="008D15F0" w:rsidRPr="00305AEB" w:rsidRDefault="008D15F0" w:rsidP="00186726">
      <w:pPr>
        <w:pStyle w:val="Paragrafoelenco"/>
        <w:numPr>
          <w:ilvl w:val="0"/>
          <w:numId w:val="49"/>
        </w:numPr>
        <w:tabs>
          <w:tab w:val="left" w:pos="7371"/>
          <w:tab w:val="right" w:pos="8080"/>
        </w:tabs>
        <w:rPr>
          <w:rFonts w:cs="Tahoma"/>
          <w:szCs w:val="20"/>
        </w:rPr>
      </w:pPr>
      <w:r w:rsidRPr="00305AEB">
        <w:rPr>
          <w:rFonts w:cs="Tahoma"/>
          <w:szCs w:val="20"/>
        </w:rPr>
        <w:t>gli immobili (anche se tenuti a disposizione);</w:t>
      </w:r>
    </w:p>
    <w:p w14:paraId="428CC282" w14:textId="77777777" w:rsidR="008D15F0" w:rsidRPr="00305AEB" w:rsidRDefault="008D15F0" w:rsidP="00186726">
      <w:pPr>
        <w:pStyle w:val="Paragrafoelenco"/>
        <w:numPr>
          <w:ilvl w:val="0"/>
          <w:numId w:val="49"/>
        </w:numPr>
        <w:tabs>
          <w:tab w:val="left" w:pos="7371"/>
          <w:tab w:val="right" w:pos="8080"/>
        </w:tabs>
        <w:rPr>
          <w:rFonts w:cs="Tahoma"/>
          <w:szCs w:val="20"/>
        </w:rPr>
      </w:pPr>
      <w:r w:rsidRPr="00305AEB">
        <w:rPr>
          <w:rFonts w:cs="Tahoma"/>
          <w:szCs w:val="20"/>
        </w:rPr>
        <w:t>i preziosi e le opere d'arte che si trovano (anche in custodia) fuori dal territorio dello Stato;</w:t>
      </w:r>
    </w:p>
    <w:p w14:paraId="2D0ECC38" w14:textId="77777777" w:rsidR="008D15F0" w:rsidRPr="00305AEB" w:rsidRDefault="008D15F0" w:rsidP="00186726">
      <w:pPr>
        <w:pStyle w:val="Paragrafoelenco"/>
        <w:numPr>
          <w:ilvl w:val="0"/>
          <w:numId w:val="49"/>
        </w:numPr>
        <w:tabs>
          <w:tab w:val="left" w:pos="7371"/>
          <w:tab w:val="right" w:pos="8080"/>
        </w:tabs>
        <w:rPr>
          <w:rFonts w:cs="Tahoma"/>
          <w:szCs w:val="20"/>
        </w:rPr>
      </w:pPr>
      <w:r w:rsidRPr="00305AEB">
        <w:rPr>
          <w:rFonts w:cs="Tahoma"/>
          <w:szCs w:val="20"/>
        </w:rPr>
        <w:t>gli yacht e le imbarcazioni o le navi da diporto "esteri";</w:t>
      </w:r>
    </w:p>
    <w:p w14:paraId="2BBD55C3" w14:textId="77777777" w:rsidR="008D15F0" w:rsidRPr="00305AEB" w:rsidRDefault="008D15F0" w:rsidP="00186726">
      <w:pPr>
        <w:pStyle w:val="Paragrafoelenco"/>
        <w:numPr>
          <w:ilvl w:val="0"/>
          <w:numId w:val="49"/>
        </w:numPr>
        <w:tabs>
          <w:tab w:val="left" w:pos="7371"/>
          <w:tab w:val="right" w:pos="8080"/>
        </w:tabs>
        <w:rPr>
          <w:rFonts w:cs="Tahoma"/>
          <w:szCs w:val="20"/>
        </w:rPr>
      </w:pPr>
      <w:r w:rsidRPr="00305AEB">
        <w:rPr>
          <w:rFonts w:cs="Tahoma"/>
          <w:szCs w:val="20"/>
        </w:rPr>
        <w:t xml:space="preserve">altri beni mobili detenuti e/o iscritti nei pubblici registri esteri, nonché quelli </w:t>
      </w:r>
      <w:proofErr w:type="gramStart"/>
      <w:r w:rsidRPr="00305AEB">
        <w:rPr>
          <w:rFonts w:cs="Tahoma"/>
          <w:szCs w:val="20"/>
        </w:rPr>
        <w:t>che</w:t>
      </w:r>
      <w:proofErr w:type="gramEnd"/>
      <w:r w:rsidRPr="00305AEB">
        <w:rPr>
          <w:rFonts w:cs="Tahoma"/>
          <w:szCs w:val="20"/>
        </w:rPr>
        <w:t xml:space="preserve"> pur non essendo iscritti nei predetti registri avrebbero i requisiti per essere iscritti in Italia;</w:t>
      </w:r>
    </w:p>
    <w:p w14:paraId="198FF661" w14:textId="77777777" w:rsidR="008D15F0" w:rsidRPr="00305AEB" w:rsidRDefault="008D15F0" w:rsidP="00186726">
      <w:pPr>
        <w:pStyle w:val="Paragrafoelenco"/>
        <w:numPr>
          <w:ilvl w:val="0"/>
          <w:numId w:val="49"/>
        </w:numPr>
        <w:tabs>
          <w:tab w:val="left" w:pos="7371"/>
          <w:tab w:val="right" w:pos="8080"/>
        </w:tabs>
        <w:rPr>
          <w:rFonts w:cs="Tahoma"/>
          <w:szCs w:val="20"/>
        </w:rPr>
      </w:pPr>
      <w:r w:rsidRPr="00305AEB">
        <w:rPr>
          <w:rFonts w:cs="Tahoma"/>
          <w:szCs w:val="20"/>
        </w:rPr>
        <w:t>i beni immateriali (marchi, brevetti, ecc.);</w:t>
      </w:r>
    </w:p>
    <w:p w14:paraId="42EBA73A" w14:textId="77777777" w:rsidR="008D15F0" w:rsidRPr="00305AEB" w:rsidRDefault="008D15F0" w:rsidP="00186726">
      <w:pPr>
        <w:pStyle w:val="Paragrafoelenco"/>
        <w:numPr>
          <w:ilvl w:val="0"/>
          <w:numId w:val="49"/>
        </w:numPr>
        <w:tabs>
          <w:tab w:val="left" w:pos="7371"/>
          <w:tab w:val="right" w:pos="8080"/>
        </w:tabs>
        <w:rPr>
          <w:rFonts w:cs="Tahoma"/>
          <w:szCs w:val="20"/>
        </w:rPr>
      </w:pPr>
      <w:r w:rsidRPr="00305AEB">
        <w:rPr>
          <w:rFonts w:cs="Tahoma"/>
          <w:szCs w:val="20"/>
        </w:rPr>
        <w:t>i mobili e gli oggetti di antiquariato.</w:t>
      </w:r>
    </w:p>
    <w:p w14:paraId="21E60B06" w14:textId="77777777" w:rsidR="00C63C14" w:rsidRDefault="00C63C14" w:rsidP="00C63C14">
      <w:pPr>
        <w:pStyle w:val="NUOVOSOTTOPARAGRAFO"/>
        <w:rPr>
          <w:rFonts w:cs="Tahoma"/>
        </w:rPr>
      </w:pPr>
    </w:p>
    <w:p w14:paraId="657B3A8E" w14:textId="1937561A" w:rsidR="000D3611" w:rsidRDefault="00C63C14" w:rsidP="007214C7">
      <w:pPr>
        <w:pStyle w:val="NUOVOSOTTOPARAGRAFO"/>
        <w:rPr>
          <w:rFonts w:cs="Tahoma"/>
        </w:rPr>
      </w:pPr>
      <w:bookmarkStart w:id="149" w:name="_Toc161933211"/>
      <w:r w:rsidRPr="00305AEB">
        <w:rPr>
          <w:rFonts w:cs="Tahoma"/>
        </w:rPr>
        <w:t>8.1.</w:t>
      </w:r>
      <w:r>
        <w:rPr>
          <w:rFonts w:cs="Tahoma"/>
        </w:rPr>
        <w:t>5</w:t>
      </w:r>
      <w:r w:rsidRPr="00305AEB">
        <w:rPr>
          <w:rFonts w:cs="Tahoma"/>
        </w:rPr>
        <w:t xml:space="preserve"> </w:t>
      </w:r>
      <w:r>
        <w:rPr>
          <w:rFonts w:cs="Tahoma"/>
        </w:rPr>
        <w:t>il nuovo quadro W nel modello 730</w:t>
      </w:r>
      <w:bookmarkEnd w:id="149"/>
    </w:p>
    <w:p w14:paraId="23A861A8" w14:textId="3ECB3210" w:rsidR="00FF5708" w:rsidRPr="007214C7" w:rsidRDefault="000A44CB" w:rsidP="007214C7">
      <w:pPr>
        <w:tabs>
          <w:tab w:val="left" w:pos="7371"/>
          <w:tab w:val="right" w:pos="8080"/>
        </w:tabs>
        <w:rPr>
          <w:rFonts w:cs="Tahoma"/>
          <w:szCs w:val="20"/>
        </w:rPr>
      </w:pPr>
      <w:r w:rsidRPr="007214C7">
        <w:rPr>
          <w:rFonts w:cs="Tahoma"/>
          <w:szCs w:val="20"/>
        </w:rPr>
        <w:t xml:space="preserve">Con il </w:t>
      </w:r>
      <w:hyperlink r:id="rId29" w:history="1">
        <w:proofErr w:type="spellStart"/>
        <w:r w:rsidRPr="007214C7">
          <w:rPr>
            <w:rStyle w:val="Collegamentoipertestuale"/>
            <w:rFonts w:cs="Tahoma"/>
            <w:szCs w:val="20"/>
          </w:rPr>
          <w:t>Provv</w:t>
        </w:r>
        <w:proofErr w:type="spellEnd"/>
        <w:r w:rsidRPr="007214C7">
          <w:rPr>
            <w:rStyle w:val="Collegamentoipertestuale"/>
            <w:rFonts w:cs="Tahoma"/>
            <w:szCs w:val="20"/>
          </w:rPr>
          <w:t>. n. 68472 del 2</w:t>
        </w:r>
        <w:r w:rsidR="006F080E" w:rsidRPr="007214C7">
          <w:rPr>
            <w:rStyle w:val="Collegamentoipertestuale"/>
            <w:rFonts w:cs="Tahoma"/>
            <w:szCs w:val="20"/>
          </w:rPr>
          <w:t>8</w:t>
        </w:r>
        <w:r w:rsidRPr="007214C7">
          <w:rPr>
            <w:rStyle w:val="Collegamentoipertestuale"/>
            <w:rFonts w:cs="Tahoma"/>
            <w:szCs w:val="20"/>
          </w:rPr>
          <w:t xml:space="preserve"> febbraio del 2024</w:t>
        </w:r>
      </w:hyperlink>
      <w:r w:rsidRPr="007214C7">
        <w:rPr>
          <w:rFonts w:cs="Tahoma"/>
          <w:szCs w:val="20"/>
        </w:rPr>
        <w:t>, l’Agenzia delle Entrate ha approvato il modello 730/2024, relativo al periodo d’imposta 2023, unitamente alle relative istruzioni per la compilazione.</w:t>
      </w:r>
    </w:p>
    <w:p w14:paraId="483D6DC8" w14:textId="705A354F" w:rsidR="00984CE0" w:rsidRPr="007214C7" w:rsidRDefault="00984CE0" w:rsidP="007214C7">
      <w:pPr>
        <w:tabs>
          <w:tab w:val="left" w:pos="7371"/>
          <w:tab w:val="right" w:pos="8080"/>
        </w:tabs>
        <w:rPr>
          <w:rFonts w:cs="Tahoma"/>
          <w:szCs w:val="20"/>
        </w:rPr>
      </w:pPr>
      <w:r w:rsidRPr="007214C7">
        <w:rPr>
          <w:rFonts w:cs="Tahoma"/>
          <w:szCs w:val="20"/>
        </w:rPr>
        <w:t xml:space="preserve">Una delle principali novità riguarda l’ambito applicativo di tale modello, il quale viene esteso a nuove categorie di soggetti, come era stato previsto dall’art. 2 del </w:t>
      </w:r>
      <w:proofErr w:type="spellStart"/>
      <w:r w:rsidRPr="007214C7">
        <w:rPr>
          <w:rFonts w:cs="Tahoma"/>
          <w:szCs w:val="20"/>
        </w:rPr>
        <w:t>D.Lgs.</w:t>
      </w:r>
      <w:proofErr w:type="spellEnd"/>
      <w:r w:rsidRPr="007214C7">
        <w:rPr>
          <w:rFonts w:cs="Tahoma"/>
          <w:szCs w:val="20"/>
        </w:rPr>
        <w:t xml:space="preserve"> n. 1 del 2024.</w:t>
      </w:r>
    </w:p>
    <w:p w14:paraId="4FE8BDB5" w14:textId="77777777" w:rsidR="0069075A" w:rsidRPr="007214C7" w:rsidRDefault="00D477C0" w:rsidP="007214C7">
      <w:pPr>
        <w:tabs>
          <w:tab w:val="left" w:pos="7371"/>
          <w:tab w:val="right" w:pos="8080"/>
        </w:tabs>
        <w:rPr>
          <w:rFonts w:cs="Tahoma"/>
          <w:szCs w:val="20"/>
        </w:rPr>
      </w:pPr>
      <w:r w:rsidRPr="007214C7">
        <w:rPr>
          <w:rFonts w:cs="Tahoma"/>
          <w:szCs w:val="20"/>
        </w:rPr>
        <w:t>In particolare, a partire da quest’anno, è possibile utilizzare il modello 730/2024 anche per</w:t>
      </w:r>
      <w:r w:rsidR="0069075A" w:rsidRPr="007214C7">
        <w:rPr>
          <w:rFonts w:cs="Tahoma"/>
          <w:szCs w:val="20"/>
        </w:rPr>
        <w:t>:</w:t>
      </w:r>
    </w:p>
    <w:p w14:paraId="016AE5F2" w14:textId="54C8073E" w:rsidR="00D477C0" w:rsidRPr="007214C7" w:rsidRDefault="00D477C0" w:rsidP="007214C7">
      <w:pPr>
        <w:pStyle w:val="Paragrafoelenco"/>
        <w:numPr>
          <w:ilvl w:val="0"/>
          <w:numId w:val="88"/>
        </w:numPr>
        <w:tabs>
          <w:tab w:val="left" w:pos="7371"/>
          <w:tab w:val="right" w:pos="8080"/>
        </w:tabs>
        <w:rPr>
          <w:rFonts w:cs="Tahoma"/>
          <w:szCs w:val="20"/>
        </w:rPr>
      </w:pPr>
      <w:r w:rsidRPr="007214C7">
        <w:rPr>
          <w:rFonts w:cs="Tahoma"/>
          <w:szCs w:val="20"/>
        </w:rPr>
        <w:t>dichiarare determinati redditi di capitale di fonte estera assoggettati a imposta sostitutiva, diversi da quelli che concorrono a formare il reddito complessivo, percepiti direttamente dal contribuente senza l’intervento</w:t>
      </w:r>
      <w:r w:rsidR="0069075A" w:rsidRPr="007214C7">
        <w:rPr>
          <w:rFonts w:cs="Tahoma"/>
          <w:szCs w:val="20"/>
        </w:rPr>
        <w:t xml:space="preserve"> di intermediari residenti;</w:t>
      </w:r>
    </w:p>
    <w:p w14:paraId="3063EDBE" w14:textId="2D927975" w:rsidR="0069075A" w:rsidRPr="007214C7" w:rsidRDefault="0069075A" w:rsidP="007214C7">
      <w:pPr>
        <w:pStyle w:val="Paragrafoelenco"/>
        <w:numPr>
          <w:ilvl w:val="0"/>
          <w:numId w:val="88"/>
        </w:numPr>
        <w:tabs>
          <w:tab w:val="left" w:pos="7371"/>
          <w:tab w:val="right" w:pos="8080"/>
        </w:tabs>
        <w:rPr>
          <w:rFonts w:cs="Tahoma"/>
          <w:szCs w:val="20"/>
        </w:rPr>
      </w:pPr>
      <w:r w:rsidRPr="007214C7">
        <w:rPr>
          <w:rFonts w:cs="Tahoma"/>
          <w:szCs w:val="20"/>
        </w:rPr>
        <w:t>assolvere agli adempimenti relativi al monitoraggio delle attività estere di natura finanziaria o patrimoniale a titolo di proprietà o di altro diritto reale e determinare in relazione a essi le relative imposte sostitutive dovute (IVIE, IVAFE e imposta cripto-attività).</w:t>
      </w:r>
    </w:p>
    <w:p w14:paraId="115DA258" w14:textId="78935F90" w:rsidR="00FF5708" w:rsidRPr="007214C7" w:rsidRDefault="00CC37E4" w:rsidP="007214C7">
      <w:pPr>
        <w:tabs>
          <w:tab w:val="left" w:pos="7371"/>
          <w:tab w:val="right" w:pos="8080"/>
        </w:tabs>
        <w:rPr>
          <w:rFonts w:cs="Tahoma"/>
          <w:szCs w:val="20"/>
        </w:rPr>
      </w:pPr>
      <w:r w:rsidRPr="007214C7">
        <w:rPr>
          <w:rFonts w:cs="Tahoma"/>
          <w:szCs w:val="20"/>
        </w:rPr>
        <w:t>Al fine di indicare i suddetti dati, nel modello 730/2024 è stata aggiunta, nel quadro L, la Sezione III (Redditi di capitale soggetti a imposizione sostitutiva), ed è stato inserito il nuovo quadro W per gli investimenti e le attività estere di natura finanziaria o patrimoniale.</w:t>
      </w:r>
    </w:p>
    <w:p w14:paraId="490328F7" w14:textId="7F716DA5" w:rsidR="00FF5708" w:rsidRPr="007214C7" w:rsidRDefault="00F754E6" w:rsidP="007214C7">
      <w:pPr>
        <w:tabs>
          <w:tab w:val="left" w:pos="7371"/>
          <w:tab w:val="right" w:pos="8080"/>
        </w:tabs>
        <w:rPr>
          <w:rFonts w:cs="Tahoma"/>
          <w:szCs w:val="20"/>
        </w:rPr>
      </w:pPr>
      <w:r w:rsidRPr="007214C7">
        <w:rPr>
          <w:rFonts w:cs="Tahoma"/>
          <w:szCs w:val="20"/>
        </w:rPr>
        <w:lastRenderedPageBreak/>
        <w:t>Quindi, da quest’anno, per la dichiarazione degli investimenti esteri si utilizzerà direttamente il modello 730 e non si provvederà, come in passato, a presentare in aggiunta al modello 730 i quadri del modello REDDITI PF.</w:t>
      </w:r>
    </w:p>
    <w:p w14:paraId="03284036" w14:textId="77777777" w:rsidR="007214C7" w:rsidRDefault="007214C7" w:rsidP="00186726">
      <w:pPr>
        <w:pStyle w:val="Sottotitolo"/>
        <w:numPr>
          <w:ilvl w:val="0"/>
          <w:numId w:val="0"/>
        </w:numPr>
        <w:rPr>
          <w:rFonts w:cs="Tahoma"/>
          <w:spacing w:val="0"/>
        </w:rPr>
      </w:pPr>
    </w:p>
    <w:p w14:paraId="4382354C" w14:textId="5E1C6A56" w:rsidR="008D15F0" w:rsidRPr="00305AEB" w:rsidRDefault="008D15F0" w:rsidP="00186726">
      <w:pPr>
        <w:pStyle w:val="Sottotitolo"/>
        <w:numPr>
          <w:ilvl w:val="0"/>
          <w:numId w:val="0"/>
        </w:numPr>
        <w:rPr>
          <w:rFonts w:cs="Tahoma"/>
          <w:spacing w:val="0"/>
        </w:rPr>
      </w:pPr>
      <w:bookmarkStart w:id="150" w:name="_Toc161933212"/>
      <w:r w:rsidRPr="00305AEB">
        <w:rPr>
          <w:rFonts w:cs="Tahoma"/>
          <w:spacing w:val="0"/>
        </w:rPr>
        <w:t>8.2 Valori da indicare all’interno del quadro RW</w:t>
      </w:r>
      <w:bookmarkEnd w:id="150"/>
    </w:p>
    <w:p w14:paraId="75438B09" w14:textId="77777777" w:rsidR="008D15F0" w:rsidRPr="00305AEB" w:rsidRDefault="008D15F0" w:rsidP="00186726">
      <w:pPr>
        <w:tabs>
          <w:tab w:val="left" w:pos="7371"/>
          <w:tab w:val="right" w:pos="8080"/>
        </w:tabs>
        <w:rPr>
          <w:rFonts w:cs="Tahoma"/>
          <w:szCs w:val="20"/>
        </w:rPr>
      </w:pPr>
      <w:r w:rsidRPr="00305AEB">
        <w:rPr>
          <w:rFonts w:cs="Tahoma"/>
          <w:szCs w:val="20"/>
        </w:rPr>
        <w:t xml:space="preserve">Secondo il </w:t>
      </w:r>
      <w:proofErr w:type="spellStart"/>
      <w:r w:rsidRPr="00305AEB">
        <w:rPr>
          <w:rFonts w:cs="Tahoma"/>
          <w:szCs w:val="20"/>
        </w:rPr>
        <w:t>Provv</w:t>
      </w:r>
      <w:proofErr w:type="spellEnd"/>
      <w:r w:rsidRPr="00305AEB">
        <w:rPr>
          <w:rFonts w:cs="Tahoma"/>
          <w:szCs w:val="20"/>
        </w:rPr>
        <w:t>. Agenzia Entrate n. 151663 e la C.M. n. 38/E del 2013:</w:t>
      </w:r>
    </w:p>
    <w:p w14:paraId="3B39BDB9" w14:textId="77777777" w:rsidR="008D15F0" w:rsidRPr="00305AEB" w:rsidRDefault="008D15F0" w:rsidP="00186726">
      <w:pPr>
        <w:pStyle w:val="Paragrafoelenco"/>
        <w:numPr>
          <w:ilvl w:val="0"/>
          <w:numId w:val="49"/>
        </w:numPr>
        <w:tabs>
          <w:tab w:val="left" w:pos="7371"/>
          <w:tab w:val="right" w:pos="8080"/>
        </w:tabs>
        <w:rPr>
          <w:rFonts w:cs="Tahoma"/>
          <w:szCs w:val="20"/>
        </w:rPr>
      </w:pPr>
      <w:r w:rsidRPr="00305AEB">
        <w:rPr>
          <w:rFonts w:cs="Tahoma"/>
          <w:szCs w:val="20"/>
        </w:rPr>
        <w:t>per l'individuazione del valore degli immobili esteri da indicare nel quadro RW devono essere adottati gli stessi criteri validi ai fini IVIE, anche se non dovuta;</w:t>
      </w:r>
    </w:p>
    <w:p w14:paraId="313039F3" w14:textId="77777777" w:rsidR="008D15F0" w:rsidRPr="00305AEB" w:rsidRDefault="008D15F0" w:rsidP="00186726">
      <w:pPr>
        <w:pStyle w:val="Paragrafoelenco"/>
        <w:numPr>
          <w:ilvl w:val="0"/>
          <w:numId w:val="49"/>
        </w:numPr>
        <w:tabs>
          <w:tab w:val="left" w:pos="7371"/>
          <w:tab w:val="right" w:pos="8080"/>
        </w:tabs>
        <w:rPr>
          <w:rFonts w:cs="Tahoma"/>
          <w:szCs w:val="20"/>
        </w:rPr>
      </w:pPr>
      <w:r w:rsidRPr="00305AEB">
        <w:rPr>
          <w:rFonts w:cs="Tahoma"/>
          <w:szCs w:val="20"/>
        </w:rPr>
        <w:t>per l'individuazione del valore delle attività finanziarie, devono essere adottati gli stessi criteri validi ai fini dell'IVAFE.</w:t>
      </w:r>
    </w:p>
    <w:p w14:paraId="222BEDA8" w14:textId="77777777" w:rsidR="008D15F0" w:rsidRPr="00305AEB" w:rsidRDefault="008D15F0" w:rsidP="00186726">
      <w:pPr>
        <w:tabs>
          <w:tab w:val="left" w:pos="7371"/>
          <w:tab w:val="right" w:pos="8080"/>
        </w:tabs>
        <w:rPr>
          <w:rFonts w:cs="Tahoma"/>
          <w:szCs w:val="20"/>
        </w:rPr>
      </w:pPr>
      <w:r w:rsidRPr="00305AEB">
        <w:rPr>
          <w:rFonts w:cs="Tahoma"/>
          <w:szCs w:val="20"/>
        </w:rPr>
        <w:t>Per le altre attività patrimoniali detenute all'estero, diverse dagli immobili, per le quali non è dovuta l'IVIE, il contribuente deve indicare il costo d'acquisto, risultante dalla relativa documentazione probatoria, ovvero il valore di mercato all'inizio di ciascun periodo d'imposta (ovvero al primo giorno di detenzione) e al termine dello stesso (ovvero al termine del periodo di detenzione nello stesso).</w:t>
      </w:r>
    </w:p>
    <w:p w14:paraId="0A48F95C" w14:textId="77777777" w:rsidR="000D3611" w:rsidRPr="00305AEB" w:rsidRDefault="008D15F0" w:rsidP="00186726">
      <w:pPr>
        <w:tabs>
          <w:tab w:val="left" w:pos="7371"/>
          <w:tab w:val="right" w:pos="8080"/>
        </w:tabs>
        <w:rPr>
          <w:rFonts w:cs="Tahoma"/>
          <w:szCs w:val="20"/>
        </w:rPr>
      </w:pPr>
      <w:r w:rsidRPr="00305AEB">
        <w:rPr>
          <w:rFonts w:cs="Tahoma"/>
          <w:szCs w:val="20"/>
        </w:rPr>
        <w:t>Il criterio della valorizzazione al costo storico, che fino ad UNICO 2013 era quello principale, si può considerare residuale con l'attuale disciplina.</w:t>
      </w:r>
    </w:p>
    <w:p w14:paraId="1EC69A2A" w14:textId="26ACEB5A" w:rsidR="000D3611" w:rsidRPr="00305AEB" w:rsidRDefault="008D15F0" w:rsidP="00186726">
      <w:pPr>
        <w:tabs>
          <w:tab w:val="left" w:pos="7371"/>
          <w:tab w:val="right" w:pos="8080"/>
        </w:tabs>
      </w:pPr>
      <w:r w:rsidRPr="00305AEB">
        <w:rPr>
          <w:rFonts w:cs="Tahoma"/>
          <w:szCs w:val="20"/>
        </w:rPr>
        <w:t>I soggetti non tenuti al pagamento dell'IVIE e dell'IVAFE dovranno utilizzare i medesimi criteri di valorizzazione delle attività esclusivamente ai fini del monitoraggio fiscale.</w:t>
      </w:r>
    </w:p>
    <w:p w14:paraId="44150ABC" w14:textId="52CDAB1E" w:rsidR="000D3611" w:rsidRPr="00305AEB" w:rsidRDefault="000D3611" w:rsidP="00186726">
      <w:pPr>
        <w:rPr>
          <w:rFonts w:cs="Tahoma"/>
          <w:b/>
          <w:iCs/>
          <w:color w:val="404040"/>
          <w:u w:val="single"/>
        </w:rPr>
      </w:pPr>
    </w:p>
    <w:p w14:paraId="7649A117" w14:textId="1F714DF9" w:rsidR="008D15F0" w:rsidRPr="00305AEB" w:rsidRDefault="008D15F0" w:rsidP="00186726">
      <w:pPr>
        <w:pStyle w:val="Sottotitolo"/>
        <w:numPr>
          <w:ilvl w:val="0"/>
          <w:numId w:val="0"/>
        </w:numPr>
        <w:rPr>
          <w:rFonts w:cs="Tahoma"/>
          <w:spacing w:val="0"/>
        </w:rPr>
      </w:pPr>
      <w:bookmarkStart w:id="151" w:name="_Toc161933213"/>
      <w:r w:rsidRPr="00305AEB">
        <w:rPr>
          <w:rFonts w:cs="Tahoma"/>
          <w:spacing w:val="0"/>
        </w:rPr>
        <w:t>8.3 Importi in valuta estera</w:t>
      </w:r>
      <w:bookmarkEnd w:id="151"/>
    </w:p>
    <w:p w14:paraId="01B5E48C" w14:textId="77777777" w:rsidR="000D3611" w:rsidRPr="00305AEB" w:rsidRDefault="008D15F0" w:rsidP="00186726">
      <w:pPr>
        <w:tabs>
          <w:tab w:val="left" w:pos="7371"/>
          <w:tab w:val="right" w:pos="8080"/>
        </w:tabs>
        <w:rPr>
          <w:rFonts w:cs="Tahoma"/>
          <w:szCs w:val="20"/>
        </w:rPr>
      </w:pPr>
      <w:r w:rsidRPr="00305AEB">
        <w:rPr>
          <w:rFonts w:cs="Tahoma"/>
          <w:szCs w:val="20"/>
        </w:rPr>
        <w:t>Per gli importi in valuta estera il contribuente deve indicare il controvalore in euro utilizzando, il tasso di cambio</w:t>
      </w:r>
      <w:r w:rsidR="0069364A" w:rsidRPr="00305AEB">
        <w:rPr>
          <w:rFonts w:cs="Tahoma"/>
          <w:szCs w:val="20"/>
        </w:rPr>
        <w:t xml:space="preserve"> </w:t>
      </w:r>
      <w:r w:rsidRPr="00305AEB">
        <w:rPr>
          <w:rFonts w:cs="Tahoma"/>
          <w:szCs w:val="20"/>
        </w:rPr>
        <w:t>indicato nel provvedimento del Direttore dell'Agenzia emanato ai fini dell'individuazione dei cambi medi mensili agli effetti delle norme contenute nei Titoli I e II del TUIR.</w:t>
      </w:r>
    </w:p>
    <w:p w14:paraId="3A0D85A2" w14:textId="77777777" w:rsidR="008D15F0" w:rsidRPr="00305AEB" w:rsidRDefault="008D15F0" w:rsidP="00186726">
      <w:pPr>
        <w:tabs>
          <w:tab w:val="left" w:pos="7371"/>
          <w:tab w:val="right" w:pos="8080"/>
        </w:tabs>
        <w:rPr>
          <w:rFonts w:cs="Tahoma"/>
          <w:szCs w:val="20"/>
        </w:rPr>
      </w:pPr>
      <w:r w:rsidRPr="00305AEB">
        <w:rPr>
          <w:rFonts w:cs="Tahoma"/>
          <w:szCs w:val="20"/>
        </w:rPr>
        <w:t xml:space="preserve">Ai sensi dell’art. 110, comma 9 del TUIR, i cambi medi mensili sono approvato con appositi provvedimenti dell'Agenzia delle Entrate. </w:t>
      </w:r>
    </w:p>
    <w:p w14:paraId="33CC693A" w14:textId="66099011" w:rsidR="008D15F0" w:rsidRPr="00305AEB" w:rsidRDefault="00E74279" w:rsidP="00186726">
      <w:pPr>
        <w:tabs>
          <w:tab w:val="left" w:pos="7371"/>
          <w:tab w:val="right" w:pos="8080"/>
        </w:tabs>
        <w:rPr>
          <w:rFonts w:cs="Tahoma"/>
          <w:szCs w:val="20"/>
        </w:rPr>
      </w:pPr>
      <w:r>
        <w:rPr>
          <w:rFonts w:cs="Tahoma"/>
          <w:szCs w:val="20"/>
        </w:rPr>
        <w:t>È</w:t>
      </w:r>
      <w:r w:rsidR="008D15F0" w:rsidRPr="00305AEB">
        <w:rPr>
          <w:rFonts w:cs="Tahoma"/>
          <w:szCs w:val="20"/>
        </w:rPr>
        <w:t xml:space="preserve"> possibile utilizzare, in alternativa, tassi di cambio alternativi forniti da operatori internazionali indipendenti utilizzati dall'impresa nella contabilizzazione delle operazioni in valuta, purché risultanti da fonti di informazione pubbliche e verificabili (art. 13-bis, comma 2, lett. e) del D.L. n. 244/2016).</w:t>
      </w:r>
    </w:p>
    <w:p w14:paraId="43EDAA97" w14:textId="77777777" w:rsidR="008D15F0" w:rsidRPr="00305AEB" w:rsidRDefault="008D15F0" w:rsidP="00186726">
      <w:pPr>
        <w:tabs>
          <w:tab w:val="left" w:pos="7371"/>
          <w:tab w:val="right" w:pos="8080"/>
        </w:tabs>
        <w:rPr>
          <w:rFonts w:cs="Tahoma"/>
          <w:szCs w:val="20"/>
        </w:rPr>
      </w:pPr>
      <w:r w:rsidRPr="00305AEB">
        <w:rPr>
          <w:rFonts w:cs="Tahoma"/>
          <w:szCs w:val="20"/>
        </w:rPr>
        <w:lastRenderedPageBreak/>
        <w:t>In merito alla reperibilità dei cambi risalenti ad annualità lontane nel tempo, viene ricordato che fino all'emanazione del DM 28.12.2000, in vigore dal 12.1.2001, l'accertamento dei cambi delle valute estere era di competenza del Ministero delle Finanze (R.M. n. 77/E del 2016).</w:t>
      </w:r>
    </w:p>
    <w:p w14:paraId="0FB63880" w14:textId="77777777" w:rsidR="000D3611" w:rsidRPr="00305AEB" w:rsidRDefault="000D3611" w:rsidP="00186726">
      <w:pPr>
        <w:pStyle w:val="Sottotitolo"/>
        <w:numPr>
          <w:ilvl w:val="0"/>
          <w:numId w:val="0"/>
        </w:numPr>
        <w:rPr>
          <w:rFonts w:cs="Tahoma"/>
          <w:spacing w:val="0"/>
        </w:rPr>
      </w:pPr>
    </w:p>
    <w:p w14:paraId="5CA25194" w14:textId="77777777" w:rsidR="008D15F0" w:rsidRPr="00305AEB" w:rsidRDefault="008D15F0" w:rsidP="00186726">
      <w:pPr>
        <w:pStyle w:val="Sottotitolo"/>
        <w:numPr>
          <w:ilvl w:val="0"/>
          <w:numId w:val="0"/>
        </w:numPr>
        <w:rPr>
          <w:rFonts w:cs="Tahoma"/>
          <w:spacing w:val="0"/>
        </w:rPr>
      </w:pPr>
      <w:bookmarkStart w:id="152" w:name="_Toc161933214"/>
      <w:r w:rsidRPr="00305AEB">
        <w:rPr>
          <w:rFonts w:cs="Tahoma"/>
          <w:spacing w:val="0"/>
        </w:rPr>
        <w:t>8.4 Esonero dalla compilazione del quadro RW</w:t>
      </w:r>
      <w:bookmarkEnd w:id="152"/>
    </w:p>
    <w:p w14:paraId="5A2074C1" w14:textId="77777777" w:rsidR="008D15F0" w:rsidRPr="00305AEB" w:rsidRDefault="008D15F0" w:rsidP="00186726">
      <w:pPr>
        <w:tabs>
          <w:tab w:val="left" w:pos="7371"/>
          <w:tab w:val="right" w:pos="8080"/>
        </w:tabs>
        <w:rPr>
          <w:rFonts w:cs="Tahoma"/>
          <w:szCs w:val="20"/>
        </w:rPr>
      </w:pPr>
      <w:r w:rsidRPr="00305AEB">
        <w:rPr>
          <w:rFonts w:cs="Tahoma"/>
          <w:szCs w:val="20"/>
        </w:rPr>
        <w:t>Gli obblighi di monitoraggio non sussistono per le attività finanziarie e patrimoniali affidate in gestione o in amministrazione agli intermediari residenti e per i contratti comunque conclusi attraverso il loro intervento, a condizione che i flussi finanziari e redditi derivanti da tali attività siano stati assoggettati a ritenuta o imposta sostitutiva dagli intermediari stessi. Pertanto, l'esonero è previsto:</w:t>
      </w:r>
    </w:p>
    <w:p w14:paraId="2A2BEFB9" w14:textId="77777777" w:rsidR="008D15F0" w:rsidRPr="00305AEB" w:rsidRDefault="008D15F0" w:rsidP="00186726">
      <w:pPr>
        <w:pStyle w:val="Paragrafoelenco"/>
        <w:numPr>
          <w:ilvl w:val="0"/>
          <w:numId w:val="50"/>
        </w:numPr>
        <w:tabs>
          <w:tab w:val="left" w:pos="7371"/>
          <w:tab w:val="right" w:pos="8080"/>
        </w:tabs>
        <w:rPr>
          <w:rFonts w:cs="Tahoma"/>
          <w:szCs w:val="20"/>
        </w:rPr>
      </w:pPr>
      <w:r w:rsidRPr="00305AEB">
        <w:rPr>
          <w:rFonts w:cs="Tahoma"/>
          <w:szCs w:val="20"/>
        </w:rPr>
        <w:t>per le attività finanziarie e patrimoniali affidate in gestione o in amministrazione agli intermediari finanziari residenti;</w:t>
      </w:r>
    </w:p>
    <w:p w14:paraId="72985D5A" w14:textId="77777777" w:rsidR="008D15F0" w:rsidRPr="00305AEB" w:rsidRDefault="008D15F0" w:rsidP="00186726">
      <w:pPr>
        <w:pStyle w:val="Paragrafoelenco"/>
        <w:numPr>
          <w:ilvl w:val="0"/>
          <w:numId w:val="50"/>
        </w:numPr>
        <w:tabs>
          <w:tab w:val="left" w:pos="7371"/>
          <w:tab w:val="right" w:pos="8080"/>
        </w:tabs>
        <w:rPr>
          <w:rFonts w:cs="Tahoma"/>
          <w:szCs w:val="20"/>
        </w:rPr>
      </w:pPr>
      <w:r w:rsidRPr="00305AEB">
        <w:rPr>
          <w:rFonts w:cs="Tahoma"/>
          <w:szCs w:val="20"/>
        </w:rPr>
        <w:t>per i contratti produttivi di redditi di natura finanziaria conclusi attraverso l'intervento degli intermediari finanziari residenti in qualità di controparti ovvero come mandatari di una delle controparti contrattuali;</w:t>
      </w:r>
    </w:p>
    <w:p w14:paraId="5A423B08" w14:textId="77777777" w:rsidR="008D15F0" w:rsidRPr="00305AEB" w:rsidRDefault="008D15F0" w:rsidP="00186726">
      <w:pPr>
        <w:pStyle w:val="Paragrafoelenco"/>
        <w:numPr>
          <w:ilvl w:val="0"/>
          <w:numId w:val="50"/>
        </w:numPr>
        <w:tabs>
          <w:tab w:val="left" w:pos="7371"/>
          <w:tab w:val="right" w:pos="8080"/>
        </w:tabs>
        <w:rPr>
          <w:rFonts w:cs="Tahoma"/>
          <w:szCs w:val="20"/>
        </w:rPr>
      </w:pPr>
      <w:r w:rsidRPr="00305AEB">
        <w:rPr>
          <w:rFonts w:cs="Tahoma"/>
          <w:szCs w:val="20"/>
        </w:rPr>
        <w:t>per le attività finanziarie e patrimoniali i cui redditi siano riscossi attraverso l'intervento degli intermediari.</w:t>
      </w:r>
    </w:p>
    <w:p w14:paraId="39DF8D21" w14:textId="77777777" w:rsidR="008D15F0" w:rsidRPr="00305AEB" w:rsidRDefault="008D15F0" w:rsidP="00186726">
      <w:pPr>
        <w:tabs>
          <w:tab w:val="left" w:pos="7371"/>
          <w:tab w:val="right" w:pos="8080"/>
        </w:tabs>
        <w:rPr>
          <w:rFonts w:cs="Tahoma"/>
          <w:szCs w:val="20"/>
        </w:rPr>
      </w:pPr>
      <w:r w:rsidRPr="00305AEB">
        <w:rPr>
          <w:rFonts w:cs="Tahoma"/>
          <w:szCs w:val="20"/>
        </w:rPr>
        <w:t>In tutti e tre casi, l'esonero dagli obblighi di monitoraggio compete a condizione che i redditi di natura finanziaria e patrimoniale siano stati assoggettati a tassazione mediante l'applicazione dell'imposta sostitutiva nell'ambito dei regimi del risparmio amministrato o gestito, delle imposte sostitutive o delle ritenute a titolo d'imposta o d'acconto previste dall'ordinamento (C.M. n. 38/E del 2013).</w:t>
      </w:r>
    </w:p>
    <w:p w14:paraId="5036020E" w14:textId="23BA26E9" w:rsidR="000D3611" w:rsidRPr="00305AEB" w:rsidRDefault="000D3611" w:rsidP="00186726">
      <w:pPr>
        <w:rPr>
          <w:rFonts w:cs="Tahoma"/>
          <w:b/>
          <w:i/>
        </w:rPr>
      </w:pPr>
    </w:p>
    <w:p w14:paraId="42F9AF79" w14:textId="36AF740B" w:rsidR="008D15F0" w:rsidRPr="00305AEB" w:rsidRDefault="008D15F0" w:rsidP="00186726">
      <w:pPr>
        <w:pStyle w:val="NUOVOSOTTOPARAGRAFO"/>
        <w:rPr>
          <w:rFonts w:cs="Tahoma"/>
        </w:rPr>
      </w:pPr>
      <w:bookmarkStart w:id="153" w:name="_Toc161933215"/>
      <w:r w:rsidRPr="00305AEB">
        <w:rPr>
          <w:rFonts w:cs="Tahoma"/>
        </w:rPr>
        <w:t>8.4.1 Esonero per gli immobili esteri che non hanno subito variazioni</w:t>
      </w:r>
      <w:bookmarkEnd w:id="153"/>
    </w:p>
    <w:p w14:paraId="7FCD8D5E" w14:textId="77777777" w:rsidR="008D15F0" w:rsidRPr="00305AEB" w:rsidRDefault="008D15F0" w:rsidP="00186726">
      <w:pPr>
        <w:tabs>
          <w:tab w:val="left" w:pos="7371"/>
          <w:tab w:val="right" w:pos="8080"/>
        </w:tabs>
        <w:rPr>
          <w:rFonts w:cs="Tahoma"/>
          <w:szCs w:val="20"/>
        </w:rPr>
      </w:pPr>
      <w:r w:rsidRPr="00305AEB">
        <w:rPr>
          <w:rFonts w:cs="Tahoma"/>
          <w:szCs w:val="20"/>
        </w:rPr>
        <w:t>Dal modello REDDITI 2017, l'obbligo di compilazione del quadro RW non sussiste per gli immobili situati all'estero per i quali non siano intervenute variazioni nel corso del periodo di imposta.</w:t>
      </w:r>
      <w:r w:rsidRPr="00305AEB">
        <w:rPr>
          <w:rFonts w:cs="Tahoma"/>
          <w:szCs w:val="20"/>
        </w:rPr>
        <w:br/>
        <w:t>Ad ogni modo, resta fermo l'obbligo di liquidazione e di versamento dell'IVIE, quindi, il modello RW dovrà essere compilato per poter liquidare tale imposta.</w:t>
      </w:r>
    </w:p>
    <w:p w14:paraId="0BB55C3E" w14:textId="77777777" w:rsidR="000D3611" w:rsidRPr="00305AEB" w:rsidRDefault="000D3611" w:rsidP="00186726">
      <w:pPr>
        <w:pStyle w:val="Sottotitolo"/>
        <w:numPr>
          <w:ilvl w:val="0"/>
          <w:numId w:val="0"/>
        </w:numPr>
        <w:rPr>
          <w:rFonts w:cs="Tahoma"/>
          <w:spacing w:val="0"/>
        </w:rPr>
      </w:pPr>
    </w:p>
    <w:p w14:paraId="3CC1DC98" w14:textId="77777777" w:rsidR="00E22CE6" w:rsidRDefault="00E22CE6">
      <w:pPr>
        <w:spacing w:after="0" w:line="240" w:lineRule="auto"/>
        <w:jc w:val="left"/>
        <w:rPr>
          <w:rFonts w:cs="Tahoma"/>
          <w:b/>
          <w:iCs/>
          <w:color w:val="404040"/>
          <w:sz w:val="22"/>
          <w:u w:val="single"/>
        </w:rPr>
      </w:pPr>
      <w:r>
        <w:rPr>
          <w:rFonts w:cs="Tahoma"/>
        </w:rPr>
        <w:br w:type="page"/>
      </w:r>
    </w:p>
    <w:p w14:paraId="47A06B33" w14:textId="28D98B4D" w:rsidR="008D15F0" w:rsidRPr="00305AEB" w:rsidRDefault="008D15F0" w:rsidP="00186726">
      <w:pPr>
        <w:pStyle w:val="Sottotitolo"/>
        <w:numPr>
          <w:ilvl w:val="0"/>
          <w:numId w:val="0"/>
        </w:numPr>
        <w:rPr>
          <w:rFonts w:cs="Tahoma"/>
          <w:spacing w:val="0"/>
        </w:rPr>
      </w:pPr>
      <w:bookmarkStart w:id="154" w:name="_Toc161933216"/>
      <w:r w:rsidRPr="00305AEB">
        <w:rPr>
          <w:rFonts w:cs="Tahoma"/>
          <w:spacing w:val="0"/>
        </w:rPr>
        <w:lastRenderedPageBreak/>
        <w:t>8.5 Esempi di compilazione del modello REDDITI</w:t>
      </w:r>
      <w:bookmarkEnd w:id="154"/>
    </w:p>
    <w:p w14:paraId="703D519A" w14:textId="77777777" w:rsidR="008D15F0" w:rsidRPr="00305AEB" w:rsidRDefault="008D15F0" w:rsidP="00186726">
      <w:pPr>
        <w:pStyle w:val="NUOVOSOTTOPARAGRAFO"/>
        <w:rPr>
          <w:rFonts w:cs="Tahoma"/>
        </w:rPr>
      </w:pPr>
      <w:bookmarkStart w:id="155" w:name="_Toc161933217"/>
      <w:r w:rsidRPr="00305AEB">
        <w:rPr>
          <w:rFonts w:cs="Tahoma"/>
        </w:rPr>
        <w:t>8.5.1 Immobile in un Paese europeo</w:t>
      </w:r>
      <w:bookmarkEnd w:id="155"/>
    </w:p>
    <w:p w14:paraId="7B70651F" w14:textId="77777777" w:rsidR="008D15F0" w:rsidRPr="00305AEB" w:rsidRDefault="008D15F0" w:rsidP="00186726">
      <w:pPr>
        <w:tabs>
          <w:tab w:val="left" w:pos="7371"/>
          <w:tab w:val="right" w:pos="8080"/>
        </w:tabs>
        <w:rPr>
          <w:rFonts w:cs="Tahoma"/>
          <w:szCs w:val="20"/>
        </w:rPr>
      </w:pPr>
      <w:r w:rsidRPr="00305AEB">
        <w:rPr>
          <w:rFonts w:cs="Tahoma"/>
          <w:szCs w:val="20"/>
        </w:rPr>
        <w:t>Un contribuente residente fiscale in Italia detiene la proprietà del 100% di un immobile in Spagna.</w:t>
      </w:r>
    </w:p>
    <w:p w14:paraId="21E450EC" w14:textId="2DDFCF43" w:rsidR="008D15F0" w:rsidRPr="00305AEB" w:rsidRDefault="008D15F0" w:rsidP="00186726">
      <w:pPr>
        <w:tabs>
          <w:tab w:val="left" w:pos="7371"/>
          <w:tab w:val="right" w:pos="8080"/>
        </w:tabs>
        <w:rPr>
          <w:rFonts w:cs="Tahoma"/>
          <w:szCs w:val="20"/>
        </w:rPr>
      </w:pPr>
      <w:r w:rsidRPr="00305AEB">
        <w:rPr>
          <w:rFonts w:cs="Tahoma"/>
          <w:szCs w:val="20"/>
        </w:rPr>
        <w:t xml:space="preserve">Tale immobile è stato acquistato nel 2009 al prezzo di 175.000 </w:t>
      </w:r>
      <w:proofErr w:type="gramStart"/>
      <w:r w:rsidRPr="00305AEB">
        <w:rPr>
          <w:rFonts w:cs="Tahoma"/>
          <w:szCs w:val="20"/>
        </w:rPr>
        <w:t>Euro</w:t>
      </w:r>
      <w:proofErr w:type="gramEnd"/>
      <w:r w:rsidRPr="00305AEB">
        <w:rPr>
          <w:rFonts w:cs="Tahoma"/>
          <w:szCs w:val="20"/>
        </w:rPr>
        <w:t xml:space="preserve"> e durante l’anno </w:t>
      </w:r>
      <w:r w:rsidR="00677554" w:rsidRPr="00305AEB">
        <w:rPr>
          <w:rFonts w:cs="Tahoma"/>
          <w:szCs w:val="20"/>
        </w:rPr>
        <w:t>202</w:t>
      </w:r>
      <w:r w:rsidR="00493849">
        <w:rPr>
          <w:rFonts w:cs="Tahoma"/>
          <w:szCs w:val="20"/>
        </w:rPr>
        <w:t>3</w:t>
      </w:r>
      <w:r w:rsidRPr="00305AEB">
        <w:rPr>
          <w:rFonts w:cs="Tahoma"/>
          <w:szCs w:val="20"/>
        </w:rPr>
        <w:t xml:space="preserve"> risulta a disposizione del contribuente.</w:t>
      </w:r>
    </w:p>
    <w:p w14:paraId="4F012E8C" w14:textId="77777777" w:rsidR="008D15F0" w:rsidRPr="00305AEB" w:rsidRDefault="008D15F0" w:rsidP="00186726">
      <w:pPr>
        <w:tabs>
          <w:tab w:val="left" w:pos="7371"/>
          <w:tab w:val="right" w:pos="8080"/>
        </w:tabs>
        <w:rPr>
          <w:rFonts w:cs="Tahoma"/>
          <w:szCs w:val="20"/>
        </w:rPr>
      </w:pPr>
      <w:r w:rsidRPr="00305AEB">
        <w:rPr>
          <w:rFonts w:cs="Tahoma"/>
          <w:szCs w:val="20"/>
        </w:rPr>
        <w:t xml:space="preserve">Dato che la Spagna è un Paese appartenente alla UE tale contribuente può utilizzare il valore catastale determinato dalla normativa della Spagna per tale immobile. </w:t>
      </w:r>
    </w:p>
    <w:p w14:paraId="7B638F44" w14:textId="77777777" w:rsidR="008D15F0" w:rsidRPr="00305AEB" w:rsidRDefault="008D15F0" w:rsidP="00186726">
      <w:pPr>
        <w:tabs>
          <w:tab w:val="left" w:pos="7371"/>
          <w:tab w:val="right" w:pos="8080"/>
        </w:tabs>
        <w:rPr>
          <w:rFonts w:cs="Tahoma"/>
          <w:szCs w:val="20"/>
        </w:rPr>
      </w:pPr>
      <w:r w:rsidRPr="00305AEB">
        <w:rPr>
          <w:rFonts w:cs="Tahoma"/>
          <w:szCs w:val="20"/>
        </w:rPr>
        <w:t xml:space="preserve">Supponiamo che tale valore risulti pari ad </w:t>
      </w:r>
      <w:proofErr w:type="gramStart"/>
      <w:r w:rsidRPr="00305AEB">
        <w:rPr>
          <w:rFonts w:cs="Tahoma"/>
          <w:szCs w:val="20"/>
        </w:rPr>
        <w:t>Euro</w:t>
      </w:r>
      <w:proofErr w:type="gramEnd"/>
      <w:r w:rsidRPr="00305AEB">
        <w:rPr>
          <w:rFonts w:cs="Tahoma"/>
          <w:szCs w:val="20"/>
        </w:rPr>
        <w:t xml:space="preserve"> 90.000. </w:t>
      </w:r>
    </w:p>
    <w:p w14:paraId="357C1ED0" w14:textId="7E1F1980" w:rsidR="008D15F0" w:rsidRPr="00305AEB" w:rsidRDefault="008D15F0" w:rsidP="00186726">
      <w:pPr>
        <w:tabs>
          <w:tab w:val="left" w:pos="7371"/>
          <w:tab w:val="right" w:pos="8080"/>
        </w:tabs>
        <w:rPr>
          <w:rFonts w:cs="Tahoma"/>
          <w:szCs w:val="20"/>
        </w:rPr>
      </w:pPr>
      <w:r w:rsidRPr="00305AEB">
        <w:rPr>
          <w:rFonts w:cs="Tahoma"/>
          <w:szCs w:val="20"/>
        </w:rPr>
        <w:t xml:space="preserve">Si ipotizzi che durante l’anno </w:t>
      </w:r>
      <w:r w:rsidR="00677554" w:rsidRPr="00305AEB">
        <w:rPr>
          <w:rFonts w:cs="Tahoma"/>
          <w:szCs w:val="20"/>
        </w:rPr>
        <w:t>202</w:t>
      </w:r>
      <w:r w:rsidR="00493849">
        <w:rPr>
          <w:rFonts w:cs="Tahoma"/>
          <w:szCs w:val="20"/>
        </w:rPr>
        <w:t>3</w:t>
      </w:r>
      <w:r w:rsidRPr="00305AEB">
        <w:rPr>
          <w:rFonts w:cs="Tahoma"/>
          <w:szCs w:val="20"/>
        </w:rPr>
        <w:t xml:space="preserve">, tale contribuente abbia versato in Spagna 600 </w:t>
      </w:r>
      <w:proofErr w:type="gramStart"/>
      <w:r w:rsidRPr="00305AEB">
        <w:rPr>
          <w:rFonts w:cs="Tahoma"/>
          <w:szCs w:val="20"/>
        </w:rPr>
        <w:t>Euro</w:t>
      </w:r>
      <w:proofErr w:type="gramEnd"/>
      <w:r w:rsidRPr="00305AEB">
        <w:rPr>
          <w:rFonts w:cs="Tahoma"/>
          <w:szCs w:val="20"/>
        </w:rPr>
        <w:t xml:space="preserve"> a titolo d’imposta patrimoniale. </w:t>
      </w:r>
    </w:p>
    <w:p w14:paraId="75B6D5D2" w14:textId="77777777" w:rsidR="008D15F0" w:rsidRDefault="008D15F0" w:rsidP="00186726">
      <w:pPr>
        <w:tabs>
          <w:tab w:val="left" w:pos="7371"/>
          <w:tab w:val="right" w:pos="8080"/>
        </w:tabs>
        <w:rPr>
          <w:rFonts w:cs="Tahoma"/>
          <w:szCs w:val="20"/>
        </w:rPr>
      </w:pPr>
      <w:r w:rsidRPr="00305AEB">
        <w:rPr>
          <w:rFonts w:cs="Tahoma"/>
          <w:szCs w:val="20"/>
        </w:rPr>
        <w:t>Il quadro RW del contribuente in esame dovrà essere compilato come segue:</w:t>
      </w:r>
    </w:p>
    <w:p w14:paraId="6B12895D" w14:textId="3F6D360B" w:rsidR="00493849" w:rsidRPr="00305AEB" w:rsidRDefault="00212FFA" w:rsidP="00186726">
      <w:pPr>
        <w:tabs>
          <w:tab w:val="left" w:pos="7371"/>
          <w:tab w:val="right" w:pos="8080"/>
        </w:tabs>
        <w:rPr>
          <w:rFonts w:cs="Tahoma"/>
          <w:szCs w:val="20"/>
        </w:rPr>
      </w:pPr>
      <w:r>
        <w:rPr>
          <w:rFonts w:cs="Tahoma"/>
          <w:noProof/>
          <w:szCs w:val="20"/>
        </w:rPr>
        <w:drawing>
          <wp:inline distT="0" distB="0" distL="0" distR="0" wp14:anchorId="6C9D914E" wp14:editId="235999C7">
            <wp:extent cx="5844540" cy="1438910"/>
            <wp:effectExtent l="0" t="0" r="3810" b="8890"/>
            <wp:docPr id="85627584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44540" cy="1438910"/>
                    </a:xfrm>
                    <a:prstGeom prst="rect">
                      <a:avLst/>
                    </a:prstGeom>
                    <a:noFill/>
                    <a:ln>
                      <a:noFill/>
                    </a:ln>
                  </pic:spPr>
                </pic:pic>
              </a:graphicData>
            </a:graphic>
          </wp:inline>
        </w:drawing>
      </w:r>
    </w:p>
    <w:p w14:paraId="0235C557" w14:textId="5BBF1A2A" w:rsidR="008D15F0" w:rsidRPr="00305AEB" w:rsidRDefault="008D15F0" w:rsidP="00186726">
      <w:pPr>
        <w:tabs>
          <w:tab w:val="left" w:pos="7371"/>
          <w:tab w:val="right" w:pos="8080"/>
        </w:tabs>
        <w:rPr>
          <w:rFonts w:cs="Tahoma"/>
          <w:szCs w:val="20"/>
        </w:rPr>
      </w:pPr>
    </w:p>
    <w:p w14:paraId="63E04B62" w14:textId="77777777" w:rsidR="008D15F0" w:rsidRPr="00305AEB" w:rsidRDefault="008D15F0" w:rsidP="00186726">
      <w:pPr>
        <w:tabs>
          <w:tab w:val="left" w:pos="709"/>
          <w:tab w:val="right" w:pos="8080"/>
        </w:tabs>
        <w:rPr>
          <w:rFonts w:cs="Tahoma"/>
          <w:szCs w:val="20"/>
        </w:rPr>
      </w:pPr>
      <w:r w:rsidRPr="00305AEB">
        <w:rPr>
          <w:rFonts w:cs="Tahoma"/>
          <w:szCs w:val="20"/>
        </w:rPr>
        <w:t>Si ritiene che la casella 18 possa essere lasciata in bianco in quanto relativa ai prodotti finanziari. Su tale questione si attende un chiarimento da parte dell’Agenzia delle Entrate.</w:t>
      </w:r>
    </w:p>
    <w:p w14:paraId="4D19B341" w14:textId="77777777" w:rsidR="00212FFA" w:rsidRDefault="00212FFA" w:rsidP="00186726">
      <w:pPr>
        <w:pStyle w:val="NUOVOSOTTOPARAGRAFO"/>
        <w:rPr>
          <w:rFonts w:cs="Tahoma"/>
        </w:rPr>
      </w:pPr>
    </w:p>
    <w:p w14:paraId="035B8F4E" w14:textId="4D5B92C0" w:rsidR="008D15F0" w:rsidRPr="00305AEB" w:rsidRDefault="008D15F0" w:rsidP="00186726">
      <w:pPr>
        <w:pStyle w:val="NUOVOSOTTOPARAGRAFO"/>
        <w:rPr>
          <w:rFonts w:cs="Tahoma"/>
        </w:rPr>
      </w:pPr>
      <w:bookmarkStart w:id="156" w:name="_Toc161933218"/>
      <w:r w:rsidRPr="00305AEB">
        <w:rPr>
          <w:rFonts w:cs="Tahoma"/>
        </w:rPr>
        <w:t>8.5.2 Immobile in un Paese extra UE</w:t>
      </w:r>
      <w:bookmarkEnd w:id="156"/>
    </w:p>
    <w:p w14:paraId="6A955B01" w14:textId="77777777" w:rsidR="008D15F0" w:rsidRPr="00305AEB" w:rsidRDefault="008D15F0" w:rsidP="00186726">
      <w:pPr>
        <w:tabs>
          <w:tab w:val="left" w:pos="7371"/>
          <w:tab w:val="right" w:pos="8080"/>
        </w:tabs>
        <w:rPr>
          <w:rFonts w:cs="Tahoma"/>
          <w:szCs w:val="20"/>
        </w:rPr>
      </w:pPr>
      <w:r w:rsidRPr="00305AEB">
        <w:rPr>
          <w:rFonts w:cs="Tahoma"/>
          <w:bCs/>
          <w:szCs w:val="20"/>
        </w:rPr>
        <w:t>Un contribuente residente fiscale in Italia detiene la proprietà del 100% di un immobile a San Marino.</w:t>
      </w:r>
    </w:p>
    <w:p w14:paraId="7ED133FD" w14:textId="0A222D61" w:rsidR="008D15F0" w:rsidRPr="00305AEB" w:rsidRDefault="008D15F0" w:rsidP="00186726">
      <w:pPr>
        <w:tabs>
          <w:tab w:val="left" w:pos="7371"/>
          <w:tab w:val="right" w:pos="8080"/>
        </w:tabs>
        <w:rPr>
          <w:rFonts w:cs="Tahoma"/>
          <w:szCs w:val="20"/>
        </w:rPr>
      </w:pPr>
      <w:r w:rsidRPr="00305AEB">
        <w:rPr>
          <w:rFonts w:cs="Tahoma"/>
          <w:bCs/>
          <w:szCs w:val="20"/>
        </w:rPr>
        <w:t xml:space="preserve">Tale immobile è stato acquistato nel 2004 al prezzo di 415.000 </w:t>
      </w:r>
      <w:proofErr w:type="gramStart"/>
      <w:r w:rsidRPr="00305AEB">
        <w:rPr>
          <w:rFonts w:cs="Tahoma"/>
          <w:bCs/>
          <w:szCs w:val="20"/>
        </w:rPr>
        <w:t>Euro</w:t>
      </w:r>
      <w:proofErr w:type="gramEnd"/>
      <w:r w:rsidRPr="00305AEB">
        <w:rPr>
          <w:rFonts w:cs="Tahoma"/>
          <w:bCs/>
          <w:szCs w:val="20"/>
        </w:rPr>
        <w:t xml:space="preserve"> e durante l’anno </w:t>
      </w:r>
      <w:r w:rsidR="00CE438F" w:rsidRPr="00305AEB">
        <w:rPr>
          <w:rFonts w:cs="Tahoma"/>
          <w:bCs/>
          <w:szCs w:val="20"/>
        </w:rPr>
        <w:t>202</w:t>
      </w:r>
      <w:r w:rsidR="00493849">
        <w:rPr>
          <w:rFonts w:cs="Tahoma"/>
          <w:bCs/>
          <w:szCs w:val="20"/>
        </w:rPr>
        <w:t>3</w:t>
      </w:r>
      <w:r w:rsidRPr="00305AEB">
        <w:rPr>
          <w:rFonts w:cs="Tahoma"/>
          <w:bCs/>
          <w:szCs w:val="20"/>
        </w:rPr>
        <w:t xml:space="preserve"> risulta a disposizione del contribuente.</w:t>
      </w:r>
    </w:p>
    <w:p w14:paraId="3AC47010" w14:textId="77777777" w:rsidR="008D15F0" w:rsidRPr="00305AEB" w:rsidRDefault="008D15F0" w:rsidP="00186726">
      <w:pPr>
        <w:tabs>
          <w:tab w:val="left" w:pos="7371"/>
          <w:tab w:val="right" w:pos="8080"/>
        </w:tabs>
        <w:rPr>
          <w:rFonts w:cs="Tahoma"/>
          <w:szCs w:val="20"/>
        </w:rPr>
      </w:pPr>
      <w:r w:rsidRPr="00305AEB">
        <w:rPr>
          <w:rFonts w:cs="Tahoma"/>
          <w:bCs/>
          <w:szCs w:val="20"/>
        </w:rPr>
        <w:t>Dato che San Marino non è un Paese appartenente alla UE tale contribuente non può utilizzare il valore catastale ma deve adottare il costo di acquisto.</w:t>
      </w:r>
    </w:p>
    <w:p w14:paraId="1D0BF918" w14:textId="5C3388AD" w:rsidR="008D15F0" w:rsidRPr="00305AEB" w:rsidRDefault="008D15F0" w:rsidP="00186726">
      <w:pPr>
        <w:tabs>
          <w:tab w:val="left" w:pos="7371"/>
          <w:tab w:val="right" w:pos="8080"/>
        </w:tabs>
        <w:rPr>
          <w:rFonts w:cs="Tahoma"/>
          <w:bCs/>
          <w:szCs w:val="20"/>
        </w:rPr>
      </w:pPr>
      <w:r w:rsidRPr="00305AEB">
        <w:rPr>
          <w:rFonts w:cs="Tahoma"/>
          <w:bCs/>
          <w:szCs w:val="20"/>
        </w:rPr>
        <w:lastRenderedPageBreak/>
        <w:t xml:space="preserve">Si ipotizzi che durante l’anno </w:t>
      </w:r>
      <w:r w:rsidR="00CE438F" w:rsidRPr="00305AEB">
        <w:rPr>
          <w:rFonts w:cs="Tahoma"/>
          <w:bCs/>
          <w:szCs w:val="20"/>
        </w:rPr>
        <w:t>202</w:t>
      </w:r>
      <w:r w:rsidR="00493849">
        <w:rPr>
          <w:rFonts w:cs="Tahoma"/>
          <w:bCs/>
          <w:szCs w:val="20"/>
        </w:rPr>
        <w:t>3</w:t>
      </w:r>
      <w:r w:rsidRPr="00305AEB">
        <w:rPr>
          <w:rFonts w:cs="Tahoma"/>
          <w:bCs/>
          <w:szCs w:val="20"/>
        </w:rPr>
        <w:t xml:space="preserve">, tale contribuente abbia versato a San Marino 720 </w:t>
      </w:r>
      <w:proofErr w:type="gramStart"/>
      <w:r w:rsidRPr="00305AEB">
        <w:rPr>
          <w:rFonts w:cs="Tahoma"/>
          <w:bCs/>
          <w:szCs w:val="20"/>
        </w:rPr>
        <w:t>Euro</w:t>
      </w:r>
      <w:proofErr w:type="gramEnd"/>
      <w:r w:rsidRPr="00305AEB">
        <w:rPr>
          <w:rFonts w:cs="Tahoma"/>
          <w:bCs/>
          <w:szCs w:val="20"/>
        </w:rPr>
        <w:t xml:space="preserve"> a titolo d’imposta patrimoniale. </w:t>
      </w:r>
    </w:p>
    <w:p w14:paraId="6F5FDB0B" w14:textId="77777777" w:rsidR="008D15F0" w:rsidRDefault="008D15F0" w:rsidP="00186726">
      <w:pPr>
        <w:tabs>
          <w:tab w:val="left" w:pos="7371"/>
          <w:tab w:val="right" w:pos="8080"/>
        </w:tabs>
        <w:rPr>
          <w:rFonts w:cs="Tahoma"/>
          <w:szCs w:val="20"/>
        </w:rPr>
      </w:pPr>
      <w:r w:rsidRPr="00305AEB">
        <w:rPr>
          <w:rFonts w:cs="Tahoma"/>
          <w:szCs w:val="20"/>
        </w:rPr>
        <w:t>Il quadro RW del contribuente in esame dovrà essere compilato come segue:</w:t>
      </w:r>
    </w:p>
    <w:p w14:paraId="4698ABE0" w14:textId="350AE302" w:rsidR="00493849" w:rsidRPr="00305AEB" w:rsidRDefault="00212FFA" w:rsidP="00186726">
      <w:pPr>
        <w:tabs>
          <w:tab w:val="left" w:pos="7371"/>
          <w:tab w:val="right" w:pos="8080"/>
        </w:tabs>
        <w:rPr>
          <w:rFonts w:cs="Tahoma"/>
          <w:szCs w:val="20"/>
        </w:rPr>
      </w:pPr>
      <w:r>
        <w:rPr>
          <w:rFonts w:cs="Tahoma"/>
          <w:noProof/>
          <w:szCs w:val="20"/>
        </w:rPr>
        <w:drawing>
          <wp:inline distT="0" distB="0" distL="0" distR="0" wp14:anchorId="0A5F6483" wp14:editId="5F17F47A">
            <wp:extent cx="5844540" cy="1412875"/>
            <wp:effectExtent l="0" t="0" r="3810" b="0"/>
            <wp:docPr id="1432070210"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44540" cy="1412875"/>
                    </a:xfrm>
                    <a:prstGeom prst="rect">
                      <a:avLst/>
                    </a:prstGeom>
                    <a:noFill/>
                    <a:ln>
                      <a:noFill/>
                    </a:ln>
                  </pic:spPr>
                </pic:pic>
              </a:graphicData>
            </a:graphic>
          </wp:inline>
        </w:drawing>
      </w:r>
    </w:p>
    <w:p w14:paraId="4B632038" w14:textId="7DB392C6" w:rsidR="008D15F0" w:rsidRPr="00305AEB" w:rsidRDefault="008D15F0" w:rsidP="00186726">
      <w:pPr>
        <w:tabs>
          <w:tab w:val="left" w:pos="7371"/>
          <w:tab w:val="right" w:pos="8080"/>
        </w:tabs>
        <w:rPr>
          <w:rFonts w:cs="Tahoma"/>
          <w:szCs w:val="20"/>
        </w:rPr>
      </w:pPr>
    </w:p>
    <w:p w14:paraId="34D7DB7D" w14:textId="77777777" w:rsidR="008D15F0" w:rsidRPr="00305AEB" w:rsidRDefault="008D15F0" w:rsidP="00186726">
      <w:pPr>
        <w:tabs>
          <w:tab w:val="left" w:pos="709"/>
          <w:tab w:val="right" w:pos="8080"/>
        </w:tabs>
        <w:rPr>
          <w:rFonts w:cs="Tahoma"/>
          <w:szCs w:val="20"/>
        </w:rPr>
      </w:pPr>
      <w:r w:rsidRPr="00305AEB">
        <w:rPr>
          <w:rFonts w:cs="Tahoma"/>
          <w:szCs w:val="20"/>
        </w:rPr>
        <w:t>Si ritiene che la casella 18 possa essere lasciata in bianco in quanto relativa ai prodotti finanziari. Su tale questione si attende un chiarimento da parte dell’Agenzia delle Entrate.</w:t>
      </w:r>
    </w:p>
    <w:p w14:paraId="580C0767" w14:textId="77777777" w:rsidR="000D3611" w:rsidRPr="00305AEB" w:rsidRDefault="000D3611" w:rsidP="00186726">
      <w:pPr>
        <w:pStyle w:val="NUOVOSOTTOPARAGRAFO"/>
        <w:rPr>
          <w:rFonts w:cs="Tahoma"/>
        </w:rPr>
      </w:pPr>
    </w:p>
    <w:p w14:paraId="6084CEB6" w14:textId="77777777" w:rsidR="008D15F0" w:rsidRPr="00305AEB" w:rsidRDefault="008D15F0" w:rsidP="00186726">
      <w:pPr>
        <w:pStyle w:val="NUOVOSOTTOPARAGRAFO"/>
        <w:rPr>
          <w:rFonts w:cs="Tahoma"/>
        </w:rPr>
      </w:pPr>
      <w:bookmarkStart w:id="157" w:name="_Toc161933219"/>
      <w:r w:rsidRPr="00305AEB">
        <w:rPr>
          <w:rFonts w:cs="Tahoma"/>
        </w:rPr>
        <w:t>8.5.3 Immobile in comproprietà</w:t>
      </w:r>
      <w:bookmarkEnd w:id="157"/>
    </w:p>
    <w:p w14:paraId="61FB0337" w14:textId="77777777" w:rsidR="008D15F0" w:rsidRPr="00305AEB" w:rsidRDefault="008D15F0" w:rsidP="00186726">
      <w:pPr>
        <w:tabs>
          <w:tab w:val="left" w:pos="7371"/>
          <w:tab w:val="right" w:pos="8080"/>
        </w:tabs>
        <w:rPr>
          <w:rFonts w:cs="Tahoma"/>
          <w:bCs/>
          <w:szCs w:val="20"/>
        </w:rPr>
      </w:pPr>
      <w:r w:rsidRPr="00305AEB">
        <w:rPr>
          <w:rFonts w:cs="Tahoma"/>
          <w:bCs/>
          <w:szCs w:val="20"/>
        </w:rPr>
        <w:t>Due coniugi residenti fiscale in Italia detengono al 50% la proprietà di un immobile in Spagna.</w:t>
      </w:r>
    </w:p>
    <w:p w14:paraId="75B752C8" w14:textId="400F35A8" w:rsidR="008D15F0" w:rsidRPr="00305AEB" w:rsidRDefault="008D15F0" w:rsidP="00186726">
      <w:pPr>
        <w:tabs>
          <w:tab w:val="left" w:pos="7371"/>
          <w:tab w:val="right" w:pos="8080"/>
        </w:tabs>
        <w:rPr>
          <w:rFonts w:cs="Tahoma"/>
          <w:bCs/>
          <w:szCs w:val="20"/>
        </w:rPr>
      </w:pPr>
      <w:r w:rsidRPr="00305AEB">
        <w:rPr>
          <w:rFonts w:cs="Tahoma"/>
          <w:bCs/>
          <w:szCs w:val="20"/>
        </w:rPr>
        <w:t xml:space="preserve">Tale immobile è stato acquistato nel 2004 al prezzo di 250.000 </w:t>
      </w:r>
      <w:proofErr w:type="gramStart"/>
      <w:r w:rsidRPr="00305AEB">
        <w:rPr>
          <w:rFonts w:cs="Tahoma"/>
          <w:bCs/>
          <w:szCs w:val="20"/>
        </w:rPr>
        <w:t>Euro</w:t>
      </w:r>
      <w:proofErr w:type="gramEnd"/>
      <w:r w:rsidRPr="00305AEB">
        <w:rPr>
          <w:rFonts w:cs="Tahoma"/>
          <w:bCs/>
          <w:szCs w:val="20"/>
        </w:rPr>
        <w:t>.</w:t>
      </w:r>
      <w:r w:rsidR="0069364A" w:rsidRPr="00305AEB">
        <w:rPr>
          <w:rFonts w:cs="Tahoma"/>
          <w:bCs/>
          <w:szCs w:val="20"/>
        </w:rPr>
        <w:t xml:space="preserve"> </w:t>
      </w:r>
      <w:r w:rsidRPr="00305AEB">
        <w:rPr>
          <w:rFonts w:cs="Tahoma"/>
          <w:bCs/>
          <w:szCs w:val="20"/>
        </w:rPr>
        <w:t>I contribuenti hanno pagato in Spagna durante il 20</w:t>
      </w:r>
      <w:r w:rsidR="00585CA1" w:rsidRPr="00305AEB">
        <w:rPr>
          <w:rFonts w:cs="Tahoma"/>
          <w:bCs/>
          <w:szCs w:val="20"/>
        </w:rPr>
        <w:t>2</w:t>
      </w:r>
      <w:r w:rsidR="00493849">
        <w:rPr>
          <w:rFonts w:cs="Tahoma"/>
          <w:bCs/>
          <w:szCs w:val="20"/>
        </w:rPr>
        <w:t>3</w:t>
      </w:r>
      <w:r w:rsidRPr="00305AEB">
        <w:rPr>
          <w:rFonts w:cs="Tahoma"/>
          <w:bCs/>
          <w:szCs w:val="20"/>
        </w:rPr>
        <w:t xml:space="preserve"> le seguenti imposte patrimoniali:</w:t>
      </w:r>
    </w:p>
    <w:p w14:paraId="14EFC1E3" w14:textId="77777777" w:rsidR="008D15F0" w:rsidRPr="00305AEB" w:rsidRDefault="008D15F0" w:rsidP="00186726">
      <w:pPr>
        <w:pStyle w:val="Paragrafoelenco"/>
        <w:numPr>
          <w:ilvl w:val="0"/>
          <w:numId w:val="51"/>
        </w:numPr>
        <w:tabs>
          <w:tab w:val="left" w:pos="709"/>
          <w:tab w:val="left" w:pos="7371"/>
          <w:tab w:val="right" w:pos="8080"/>
        </w:tabs>
        <w:rPr>
          <w:rFonts w:cs="Tahoma"/>
          <w:bCs/>
          <w:szCs w:val="20"/>
        </w:rPr>
      </w:pPr>
      <w:r w:rsidRPr="00305AEB">
        <w:rPr>
          <w:rFonts w:cs="Tahoma"/>
          <w:bCs/>
          <w:szCs w:val="20"/>
        </w:rPr>
        <w:t>IBI: 700 Euro</w:t>
      </w:r>
    </w:p>
    <w:p w14:paraId="4CEDE56D" w14:textId="77777777" w:rsidR="008D15F0" w:rsidRPr="00305AEB" w:rsidRDefault="008D15F0" w:rsidP="00186726">
      <w:pPr>
        <w:tabs>
          <w:tab w:val="left" w:pos="7371"/>
          <w:tab w:val="right" w:pos="8080"/>
        </w:tabs>
        <w:rPr>
          <w:rFonts w:cs="Tahoma"/>
          <w:bCs/>
          <w:szCs w:val="20"/>
        </w:rPr>
      </w:pPr>
      <w:r w:rsidRPr="00305AEB">
        <w:rPr>
          <w:rFonts w:cs="Tahoma"/>
          <w:bCs/>
          <w:szCs w:val="20"/>
        </w:rPr>
        <w:t xml:space="preserve">Si ipotizza che il valore catastale sia pari a 184.000 </w:t>
      </w:r>
      <w:proofErr w:type="gramStart"/>
      <w:r w:rsidRPr="00305AEB">
        <w:rPr>
          <w:rFonts w:cs="Tahoma"/>
          <w:bCs/>
          <w:szCs w:val="20"/>
        </w:rPr>
        <w:t>Euro</w:t>
      </w:r>
      <w:proofErr w:type="gramEnd"/>
      <w:r w:rsidRPr="00305AEB">
        <w:rPr>
          <w:rFonts w:cs="Tahoma"/>
          <w:bCs/>
          <w:szCs w:val="20"/>
        </w:rPr>
        <w:t>.</w:t>
      </w:r>
    </w:p>
    <w:p w14:paraId="5D8756C5" w14:textId="77777777" w:rsidR="008D15F0" w:rsidRDefault="008D15F0" w:rsidP="00186726">
      <w:pPr>
        <w:tabs>
          <w:tab w:val="left" w:pos="7371"/>
          <w:tab w:val="right" w:pos="8080"/>
        </w:tabs>
        <w:rPr>
          <w:rFonts w:cs="Tahoma"/>
          <w:szCs w:val="20"/>
        </w:rPr>
      </w:pPr>
      <w:r w:rsidRPr="00305AEB">
        <w:rPr>
          <w:rFonts w:cs="Tahoma"/>
          <w:szCs w:val="20"/>
        </w:rPr>
        <w:t>Il quadro RW del contribuente in esame dovrà essere compilato come segue:</w:t>
      </w:r>
    </w:p>
    <w:p w14:paraId="3B72ED39" w14:textId="072C9E45" w:rsidR="00493849" w:rsidRPr="00305AEB" w:rsidRDefault="005903B5" w:rsidP="00186726">
      <w:pPr>
        <w:tabs>
          <w:tab w:val="left" w:pos="7371"/>
          <w:tab w:val="right" w:pos="8080"/>
        </w:tabs>
        <w:rPr>
          <w:rFonts w:cs="Tahoma"/>
          <w:szCs w:val="20"/>
        </w:rPr>
      </w:pPr>
      <w:r>
        <w:rPr>
          <w:rFonts w:cs="Tahoma"/>
          <w:noProof/>
          <w:szCs w:val="20"/>
        </w:rPr>
        <w:drawing>
          <wp:inline distT="0" distB="0" distL="0" distR="0" wp14:anchorId="7C07B1BF" wp14:editId="5A72F4F7">
            <wp:extent cx="5844540" cy="1406525"/>
            <wp:effectExtent l="0" t="0" r="3810" b="3175"/>
            <wp:docPr id="152859216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44540" cy="1406525"/>
                    </a:xfrm>
                    <a:prstGeom prst="rect">
                      <a:avLst/>
                    </a:prstGeom>
                    <a:noFill/>
                    <a:ln>
                      <a:noFill/>
                    </a:ln>
                  </pic:spPr>
                </pic:pic>
              </a:graphicData>
            </a:graphic>
          </wp:inline>
        </w:drawing>
      </w:r>
    </w:p>
    <w:p w14:paraId="2C18AB0B" w14:textId="36DEDD43" w:rsidR="008D15F0" w:rsidRPr="00305AEB" w:rsidRDefault="008D15F0" w:rsidP="00186726">
      <w:pPr>
        <w:tabs>
          <w:tab w:val="left" w:pos="7371"/>
          <w:tab w:val="right" w:pos="8080"/>
        </w:tabs>
        <w:rPr>
          <w:rFonts w:cs="Tahoma"/>
          <w:szCs w:val="20"/>
        </w:rPr>
      </w:pPr>
    </w:p>
    <w:p w14:paraId="496698EA" w14:textId="77777777" w:rsidR="008D15F0" w:rsidRPr="00305AEB" w:rsidRDefault="008D15F0" w:rsidP="00186726">
      <w:pPr>
        <w:tabs>
          <w:tab w:val="left" w:pos="709"/>
          <w:tab w:val="right" w:pos="8080"/>
        </w:tabs>
        <w:rPr>
          <w:rFonts w:cs="Tahoma"/>
          <w:szCs w:val="20"/>
        </w:rPr>
      </w:pPr>
      <w:r w:rsidRPr="00305AEB">
        <w:rPr>
          <w:rFonts w:cs="Tahoma"/>
          <w:szCs w:val="20"/>
        </w:rPr>
        <w:lastRenderedPageBreak/>
        <w:t>Si ritiene che la casella 18 possa essere lasciata in bianco in quanto relativa ai prodotti finanziari. Su tale questione si attende un chiarimento da parte dell’Agenzia delle Entrate.</w:t>
      </w:r>
    </w:p>
    <w:p w14:paraId="000533A3" w14:textId="77777777" w:rsidR="000D3611" w:rsidRPr="00305AEB" w:rsidRDefault="000D3611" w:rsidP="00186726">
      <w:pPr>
        <w:pStyle w:val="NUOVOSOTTOPARAGRAFO"/>
        <w:rPr>
          <w:rFonts w:cs="Tahoma"/>
        </w:rPr>
      </w:pPr>
    </w:p>
    <w:p w14:paraId="629A9388" w14:textId="77777777" w:rsidR="008D15F0" w:rsidRPr="00305AEB" w:rsidRDefault="008D15F0" w:rsidP="00186726">
      <w:pPr>
        <w:pStyle w:val="NUOVOSOTTOPARAGRAFO"/>
        <w:rPr>
          <w:rFonts w:cs="Tahoma"/>
        </w:rPr>
      </w:pPr>
      <w:bookmarkStart w:id="158" w:name="_Toc161933220"/>
      <w:r w:rsidRPr="00305AEB">
        <w:rPr>
          <w:rFonts w:cs="Tahoma"/>
        </w:rPr>
        <w:t>8.5.4 Conto corrente in comproprietà</w:t>
      </w:r>
      <w:bookmarkEnd w:id="158"/>
    </w:p>
    <w:p w14:paraId="5F1AC5C3" w14:textId="77777777" w:rsidR="008D15F0" w:rsidRPr="00305AEB" w:rsidRDefault="008D15F0" w:rsidP="00186726">
      <w:pPr>
        <w:tabs>
          <w:tab w:val="left" w:pos="709"/>
          <w:tab w:val="right" w:pos="8080"/>
        </w:tabs>
        <w:rPr>
          <w:rFonts w:cs="Tahoma"/>
          <w:szCs w:val="20"/>
        </w:rPr>
      </w:pPr>
      <w:r w:rsidRPr="00305AEB">
        <w:rPr>
          <w:rFonts w:cs="Tahoma"/>
          <w:bCs/>
          <w:szCs w:val="20"/>
        </w:rPr>
        <w:t>Una persona fisica, contribuente residente fiscale in Italia, detiene un conto corrente a San Marino in comproprietà con il fratello.</w:t>
      </w:r>
    </w:p>
    <w:p w14:paraId="2121AD1F" w14:textId="2C1C9CE5" w:rsidR="008D15F0" w:rsidRPr="00305AEB" w:rsidRDefault="008D15F0" w:rsidP="00186726">
      <w:pPr>
        <w:tabs>
          <w:tab w:val="left" w:pos="709"/>
          <w:tab w:val="right" w:pos="8080"/>
        </w:tabs>
        <w:rPr>
          <w:rFonts w:cs="Tahoma"/>
          <w:szCs w:val="20"/>
        </w:rPr>
      </w:pPr>
      <w:r w:rsidRPr="00305AEB">
        <w:rPr>
          <w:rFonts w:cs="Tahoma"/>
          <w:bCs/>
          <w:szCs w:val="20"/>
        </w:rPr>
        <w:t>Il conto corrente ha un saldo inziale al 1/1/</w:t>
      </w:r>
      <w:r w:rsidR="00CE438F" w:rsidRPr="00305AEB">
        <w:rPr>
          <w:rFonts w:cs="Tahoma"/>
          <w:bCs/>
          <w:szCs w:val="20"/>
        </w:rPr>
        <w:t>202</w:t>
      </w:r>
      <w:r w:rsidR="00E87D45">
        <w:rPr>
          <w:rFonts w:cs="Tahoma"/>
          <w:bCs/>
          <w:szCs w:val="20"/>
        </w:rPr>
        <w:t>3</w:t>
      </w:r>
      <w:r w:rsidRPr="00305AEB">
        <w:rPr>
          <w:rFonts w:cs="Tahoma"/>
          <w:bCs/>
          <w:szCs w:val="20"/>
        </w:rPr>
        <w:t xml:space="preserve"> di 65.000 euro mentre al 31/12/</w:t>
      </w:r>
      <w:r w:rsidR="00CE438F" w:rsidRPr="00305AEB">
        <w:rPr>
          <w:rFonts w:cs="Tahoma"/>
          <w:bCs/>
          <w:szCs w:val="20"/>
        </w:rPr>
        <w:t>202</w:t>
      </w:r>
      <w:r w:rsidR="00E87D45">
        <w:rPr>
          <w:rFonts w:cs="Tahoma"/>
          <w:bCs/>
          <w:szCs w:val="20"/>
        </w:rPr>
        <w:t>3</w:t>
      </w:r>
      <w:r w:rsidRPr="00305AEB">
        <w:rPr>
          <w:rFonts w:cs="Tahoma"/>
          <w:bCs/>
          <w:szCs w:val="20"/>
        </w:rPr>
        <w:t xml:space="preserve"> il saldo è di 67.000.</w:t>
      </w:r>
      <w:r w:rsidR="0069364A" w:rsidRPr="00305AEB">
        <w:rPr>
          <w:rFonts w:cs="Tahoma"/>
          <w:bCs/>
          <w:szCs w:val="20"/>
        </w:rPr>
        <w:t xml:space="preserve"> </w:t>
      </w:r>
    </w:p>
    <w:p w14:paraId="23FB4B97" w14:textId="77777777" w:rsidR="008D15F0" w:rsidRPr="00305AEB" w:rsidRDefault="008D15F0" w:rsidP="00186726">
      <w:pPr>
        <w:tabs>
          <w:tab w:val="left" w:pos="709"/>
          <w:tab w:val="right" w:pos="8080"/>
        </w:tabs>
        <w:rPr>
          <w:rFonts w:cs="Tahoma"/>
          <w:szCs w:val="20"/>
        </w:rPr>
      </w:pPr>
      <w:r w:rsidRPr="00305AEB">
        <w:rPr>
          <w:rFonts w:cs="Tahoma"/>
          <w:bCs/>
          <w:szCs w:val="20"/>
        </w:rPr>
        <w:t>Il valore medio di giacenza comunicato dall’istituto bancario è pari 66.000.</w:t>
      </w:r>
    </w:p>
    <w:p w14:paraId="7A8FA4B6" w14:textId="60BBC7E5" w:rsidR="008D15F0" w:rsidRPr="00305AEB" w:rsidRDefault="008D15F0" w:rsidP="00186726">
      <w:pPr>
        <w:tabs>
          <w:tab w:val="left" w:pos="709"/>
          <w:tab w:val="right" w:pos="8080"/>
        </w:tabs>
        <w:rPr>
          <w:rFonts w:cs="Tahoma"/>
          <w:bCs/>
          <w:szCs w:val="20"/>
        </w:rPr>
      </w:pPr>
      <w:r w:rsidRPr="00305AEB">
        <w:rPr>
          <w:rFonts w:cs="Tahoma"/>
          <w:bCs/>
          <w:szCs w:val="20"/>
        </w:rPr>
        <w:t xml:space="preserve">Gli interessi corrisposti dalla banca nel corso del </w:t>
      </w:r>
      <w:r w:rsidR="00CE438F" w:rsidRPr="00305AEB">
        <w:rPr>
          <w:rFonts w:cs="Tahoma"/>
          <w:bCs/>
          <w:szCs w:val="20"/>
        </w:rPr>
        <w:t>202</w:t>
      </w:r>
      <w:r w:rsidR="00E87D45">
        <w:rPr>
          <w:rFonts w:cs="Tahoma"/>
          <w:bCs/>
          <w:szCs w:val="20"/>
        </w:rPr>
        <w:t>3</w:t>
      </w:r>
      <w:r w:rsidRPr="00305AEB">
        <w:rPr>
          <w:rFonts w:cs="Tahoma"/>
          <w:bCs/>
          <w:szCs w:val="20"/>
        </w:rPr>
        <w:t xml:space="preserve"> sono pari a 325 euro.</w:t>
      </w:r>
    </w:p>
    <w:p w14:paraId="73AED78B" w14:textId="77777777" w:rsidR="008D15F0" w:rsidRDefault="008D15F0" w:rsidP="00186726">
      <w:pPr>
        <w:tabs>
          <w:tab w:val="left" w:pos="7371"/>
          <w:tab w:val="right" w:pos="8080"/>
        </w:tabs>
        <w:rPr>
          <w:rFonts w:cs="Tahoma"/>
          <w:szCs w:val="20"/>
        </w:rPr>
      </w:pPr>
      <w:r w:rsidRPr="00305AEB">
        <w:rPr>
          <w:rFonts w:cs="Tahoma"/>
          <w:szCs w:val="20"/>
        </w:rPr>
        <w:t>Il quadro RW del contribuente in esame dovrà essere compilato come segue:</w:t>
      </w:r>
    </w:p>
    <w:p w14:paraId="396DB01F" w14:textId="346D04A8" w:rsidR="00E87D45" w:rsidRPr="00305AEB" w:rsidRDefault="003E3FCD" w:rsidP="00186726">
      <w:pPr>
        <w:tabs>
          <w:tab w:val="left" w:pos="7371"/>
          <w:tab w:val="right" w:pos="8080"/>
        </w:tabs>
        <w:rPr>
          <w:rFonts w:cs="Tahoma"/>
          <w:szCs w:val="20"/>
        </w:rPr>
      </w:pPr>
      <w:r>
        <w:rPr>
          <w:rFonts w:cs="Tahoma"/>
          <w:noProof/>
          <w:szCs w:val="20"/>
        </w:rPr>
        <w:drawing>
          <wp:inline distT="0" distB="0" distL="0" distR="0" wp14:anchorId="555877A6" wp14:editId="7D5C2AE3">
            <wp:extent cx="5849620" cy="1388745"/>
            <wp:effectExtent l="0" t="0" r="0" b="1905"/>
            <wp:docPr id="265315282"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315282" name="Immagine 265315282"/>
                    <pic:cNvPicPr/>
                  </pic:nvPicPr>
                  <pic:blipFill>
                    <a:blip r:embed="rId33"/>
                    <a:stretch>
                      <a:fillRect/>
                    </a:stretch>
                  </pic:blipFill>
                  <pic:spPr>
                    <a:xfrm>
                      <a:off x="0" y="0"/>
                      <a:ext cx="5849620" cy="1388745"/>
                    </a:xfrm>
                    <a:prstGeom prst="rect">
                      <a:avLst/>
                    </a:prstGeom>
                  </pic:spPr>
                </pic:pic>
              </a:graphicData>
            </a:graphic>
          </wp:inline>
        </w:drawing>
      </w:r>
    </w:p>
    <w:p w14:paraId="158FF266" w14:textId="53E63C7A" w:rsidR="008D15F0" w:rsidRPr="00305AEB" w:rsidRDefault="008D15F0" w:rsidP="00186726">
      <w:pPr>
        <w:tabs>
          <w:tab w:val="left" w:pos="709"/>
          <w:tab w:val="right" w:pos="8080"/>
        </w:tabs>
        <w:rPr>
          <w:rFonts w:cs="Tahoma"/>
          <w:szCs w:val="20"/>
        </w:rPr>
      </w:pPr>
    </w:p>
    <w:p w14:paraId="4E52F31E" w14:textId="77777777" w:rsidR="008D15F0" w:rsidRPr="00305AEB" w:rsidRDefault="008D15F0" w:rsidP="00186726">
      <w:pPr>
        <w:tabs>
          <w:tab w:val="left" w:pos="709"/>
          <w:tab w:val="right" w:pos="8080"/>
        </w:tabs>
        <w:rPr>
          <w:rFonts w:cs="Tahoma"/>
          <w:szCs w:val="20"/>
        </w:rPr>
      </w:pPr>
      <w:r w:rsidRPr="00305AEB">
        <w:rPr>
          <w:rFonts w:cs="Tahoma"/>
          <w:szCs w:val="20"/>
        </w:rPr>
        <w:t>Si segnala in questo esempio, che oltre a provvedere alla compilazione del quadro RW, il contribuente dovrà provvedere a dichiarare nel quadro RM gli interessi percepiti all’estero.</w:t>
      </w:r>
    </w:p>
    <w:p w14:paraId="5F45AB5A" w14:textId="77777777" w:rsidR="00E0466A" w:rsidRPr="00305AEB" w:rsidRDefault="00E0466A" w:rsidP="00186726">
      <w:pPr>
        <w:rPr>
          <w:rFonts w:cs="Tahoma"/>
          <w:b/>
          <w:i/>
        </w:rPr>
      </w:pPr>
      <w:r w:rsidRPr="00305AEB">
        <w:rPr>
          <w:rFonts w:cs="Tahoma"/>
        </w:rPr>
        <w:br w:type="page"/>
      </w:r>
    </w:p>
    <w:p w14:paraId="0ECB734A" w14:textId="77777777" w:rsidR="008D15F0" w:rsidRPr="00305AEB" w:rsidRDefault="008D15F0" w:rsidP="00186726">
      <w:pPr>
        <w:pStyle w:val="NUOVOSOTTOPARAGRAFO"/>
        <w:rPr>
          <w:rFonts w:cs="Tahoma"/>
        </w:rPr>
      </w:pPr>
      <w:bookmarkStart w:id="159" w:name="_Toc161933221"/>
      <w:r w:rsidRPr="00305AEB">
        <w:rPr>
          <w:rFonts w:cs="Tahoma"/>
        </w:rPr>
        <w:lastRenderedPageBreak/>
        <w:t>8.5.5 Obbligazioni</w:t>
      </w:r>
      <w:bookmarkEnd w:id="159"/>
    </w:p>
    <w:p w14:paraId="2E129E53" w14:textId="77777777" w:rsidR="008D15F0" w:rsidRPr="00305AEB" w:rsidRDefault="008D15F0" w:rsidP="00186726">
      <w:pPr>
        <w:tabs>
          <w:tab w:val="left" w:pos="709"/>
          <w:tab w:val="right" w:pos="8080"/>
        </w:tabs>
        <w:rPr>
          <w:rFonts w:cs="Tahoma"/>
          <w:szCs w:val="20"/>
        </w:rPr>
      </w:pPr>
      <w:r w:rsidRPr="00305AEB">
        <w:rPr>
          <w:rFonts w:cs="Tahoma"/>
          <w:szCs w:val="20"/>
        </w:rPr>
        <w:t>Una persona fisica, contribuente residente fiscale in Italia, detiene delle obbligazioni in Svizzera.</w:t>
      </w:r>
    </w:p>
    <w:p w14:paraId="1B5091B9" w14:textId="0A79BC3F" w:rsidR="008D15F0" w:rsidRPr="00305AEB" w:rsidRDefault="008D15F0" w:rsidP="00186726">
      <w:pPr>
        <w:tabs>
          <w:tab w:val="left" w:pos="709"/>
          <w:tab w:val="right" w:pos="8080"/>
        </w:tabs>
        <w:rPr>
          <w:rFonts w:cs="Tahoma"/>
          <w:szCs w:val="20"/>
        </w:rPr>
      </w:pPr>
      <w:r w:rsidRPr="00305AEB">
        <w:rPr>
          <w:rFonts w:cs="Tahoma"/>
          <w:szCs w:val="20"/>
        </w:rPr>
        <w:t>L’investimento ha un valore inziale al 1/1/</w:t>
      </w:r>
      <w:r w:rsidR="00B54377" w:rsidRPr="00305AEB">
        <w:rPr>
          <w:rFonts w:cs="Tahoma"/>
          <w:szCs w:val="20"/>
        </w:rPr>
        <w:t>202</w:t>
      </w:r>
      <w:r w:rsidR="009F0C20">
        <w:rPr>
          <w:rFonts w:cs="Tahoma"/>
          <w:szCs w:val="20"/>
        </w:rPr>
        <w:t>3</w:t>
      </w:r>
      <w:r w:rsidRPr="00305AEB">
        <w:rPr>
          <w:rFonts w:cs="Tahoma"/>
          <w:szCs w:val="20"/>
        </w:rPr>
        <w:t xml:space="preserve"> di 35.650 euro mentre al 31/12/</w:t>
      </w:r>
      <w:r w:rsidR="00B54377" w:rsidRPr="00305AEB">
        <w:rPr>
          <w:rFonts w:cs="Tahoma"/>
          <w:szCs w:val="20"/>
        </w:rPr>
        <w:t>202</w:t>
      </w:r>
      <w:r w:rsidR="009F0C20">
        <w:rPr>
          <w:rFonts w:cs="Tahoma"/>
          <w:szCs w:val="20"/>
        </w:rPr>
        <w:t>3</w:t>
      </w:r>
      <w:r w:rsidRPr="00305AEB">
        <w:rPr>
          <w:rFonts w:cs="Tahoma"/>
          <w:szCs w:val="20"/>
        </w:rPr>
        <w:t xml:space="preserve"> il valore è di 37.750. </w:t>
      </w:r>
    </w:p>
    <w:p w14:paraId="7CF32931" w14:textId="7B3765CB" w:rsidR="008D15F0" w:rsidRPr="00305AEB" w:rsidRDefault="008D15F0" w:rsidP="00186726">
      <w:pPr>
        <w:tabs>
          <w:tab w:val="left" w:pos="709"/>
          <w:tab w:val="right" w:pos="8080"/>
        </w:tabs>
        <w:rPr>
          <w:rFonts w:cs="Tahoma"/>
          <w:szCs w:val="20"/>
        </w:rPr>
      </w:pPr>
      <w:r w:rsidRPr="00305AEB">
        <w:rPr>
          <w:rFonts w:cs="Tahoma"/>
          <w:szCs w:val="20"/>
        </w:rPr>
        <w:t xml:space="preserve">Gli interessi maturati da tale investimento nel corso del </w:t>
      </w:r>
      <w:r w:rsidR="00B54377" w:rsidRPr="00305AEB">
        <w:rPr>
          <w:rFonts w:cs="Tahoma"/>
          <w:szCs w:val="20"/>
        </w:rPr>
        <w:t>202</w:t>
      </w:r>
      <w:r w:rsidR="009F0C20">
        <w:rPr>
          <w:rFonts w:cs="Tahoma"/>
          <w:szCs w:val="20"/>
        </w:rPr>
        <w:t>3</w:t>
      </w:r>
      <w:r w:rsidRPr="00305AEB">
        <w:rPr>
          <w:rFonts w:cs="Tahoma"/>
          <w:szCs w:val="20"/>
        </w:rPr>
        <w:t xml:space="preserve"> sono pari a 825 euro.</w:t>
      </w:r>
    </w:p>
    <w:p w14:paraId="1780257A" w14:textId="57898610" w:rsidR="008D15F0" w:rsidRDefault="008D15F0" w:rsidP="00186726">
      <w:pPr>
        <w:tabs>
          <w:tab w:val="left" w:pos="7371"/>
          <w:tab w:val="right" w:pos="8080"/>
        </w:tabs>
        <w:rPr>
          <w:rFonts w:cs="Tahoma"/>
          <w:szCs w:val="20"/>
        </w:rPr>
      </w:pPr>
      <w:r w:rsidRPr="00305AEB">
        <w:rPr>
          <w:rFonts w:cs="Tahoma"/>
          <w:szCs w:val="20"/>
        </w:rPr>
        <w:t>Il quadro RW del contribuente in esame dovrà essere compilato come segue:</w:t>
      </w:r>
    </w:p>
    <w:p w14:paraId="0140FA27" w14:textId="45A1182C" w:rsidR="009F0C20" w:rsidRPr="00305AEB" w:rsidRDefault="003E3FCD" w:rsidP="00186726">
      <w:pPr>
        <w:tabs>
          <w:tab w:val="left" w:pos="7371"/>
          <w:tab w:val="right" w:pos="8080"/>
        </w:tabs>
        <w:rPr>
          <w:rFonts w:cs="Tahoma"/>
          <w:szCs w:val="20"/>
        </w:rPr>
      </w:pPr>
      <w:r>
        <w:rPr>
          <w:rFonts w:cs="Tahoma"/>
          <w:noProof/>
          <w:szCs w:val="20"/>
        </w:rPr>
        <w:drawing>
          <wp:inline distT="0" distB="0" distL="0" distR="0" wp14:anchorId="7B9FCB22" wp14:editId="3F94AC41">
            <wp:extent cx="5844540" cy="1400175"/>
            <wp:effectExtent l="0" t="0" r="3810" b="9525"/>
            <wp:docPr id="186041296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44540" cy="1400175"/>
                    </a:xfrm>
                    <a:prstGeom prst="rect">
                      <a:avLst/>
                    </a:prstGeom>
                    <a:noFill/>
                    <a:ln>
                      <a:noFill/>
                    </a:ln>
                  </pic:spPr>
                </pic:pic>
              </a:graphicData>
            </a:graphic>
          </wp:inline>
        </w:drawing>
      </w:r>
    </w:p>
    <w:p w14:paraId="2A2A89B8" w14:textId="502932AA" w:rsidR="008D15F0" w:rsidRPr="00305AEB" w:rsidRDefault="008D15F0" w:rsidP="00186726">
      <w:pPr>
        <w:tabs>
          <w:tab w:val="left" w:pos="709"/>
          <w:tab w:val="right" w:pos="8080"/>
        </w:tabs>
        <w:rPr>
          <w:rFonts w:cs="Tahoma"/>
          <w:szCs w:val="20"/>
        </w:rPr>
      </w:pPr>
    </w:p>
    <w:p w14:paraId="3CF22DDD" w14:textId="77777777" w:rsidR="008D15F0" w:rsidRPr="00305AEB" w:rsidRDefault="008D15F0" w:rsidP="00186726">
      <w:pPr>
        <w:tabs>
          <w:tab w:val="left" w:pos="709"/>
          <w:tab w:val="right" w:pos="8080"/>
        </w:tabs>
        <w:rPr>
          <w:rFonts w:cs="Tahoma"/>
          <w:szCs w:val="20"/>
        </w:rPr>
      </w:pPr>
      <w:r w:rsidRPr="00305AEB">
        <w:rPr>
          <w:rFonts w:cs="Tahoma"/>
          <w:szCs w:val="20"/>
        </w:rPr>
        <w:t>Si segnala in questo esempio, che oltre a provvedere alla compilazione del quadro RW, il contribuente dovrà provvedere a dichiarare nel quadro RM gli interessi percepiti all’estero ricevuti da tale investimento.</w:t>
      </w:r>
    </w:p>
    <w:p w14:paraId="09B0C5B3" w14:textId="77777777" w:rsidR="008D15F0" w:rsidRPr="00305AEB" w:rsidRDefault="008D15F0" w:rsidP="00186726">
      <w:pPr>
        <w:rPr>
          <w:rFonts w:cs="Tahoma"/>
          <w:szCs w:val="20"/>
        </w:rPr>
      </w:pPr>
    </w:p>
    <w:p w14:paraId="5D9D1375" w14:textId="77777777" w:rsidR="008D15F0" w:rsidRPr="00305AEB" w:rsidRDefault="008D15F0" w:rsidP="00186726">
      <w:pPr>
        <w:rPr>
          <w:rFonts w:cs="Tahoma"/>
          <w:szCs w:val="20"/>
        </w:rPr>
      </w:pPr>
    </w:p>
    <w:p w14:paraId="4EA84EED" w14:textId="77777777" w:rsidR="007630E9" w:rsidRPr="00305AEB" w:rsidRDefault="007630E9" w:rsidP="00186726">
      <w:pPr>
        <w:rPr>
          <w:rFonts w:cs="Tahoma"/>
          <w:b/>
          <w:bCs/>
          <w:color w:val="404040"/>
          <w:sz w:val="32"/>
          <w:szCs w:val="28"/>
        </w:rPr>
        <w:sectPr w:rsidR="007630E9" w:rsidRPr="00305AEB" w:rsidSect="00471E5B">
          <w:pgSz w:w="11906" w:h="16838" w:code="9"/>
          <w:pgMar w:top="1418" w:right="1418" w:bottom="510" w:left="1276" w:header="709" w:footer="567" w:gutter="0"/>
          <w:pgNumType w:chapStyle="1"/>
          <w:cols w:space="708"/>
          <w:titlePg/>
          <w:docGrid w:linePitch="360"/>
        </w:sectPr>
      </w:pPr>
    </w:p>
    <w:bookmarkStart w:id="160" w:name="_Toc161933222"/>
    <w:p w14:paraId="1DD58E3F" w14:textId="1A5E825B" w:rsidR="008D15F0" w:rsidRPr="00E74279" w:rsidRDefault="00E22CE6" w:rsidP="00E74279">
      <w:pPr>
        <w:pStyle w:val="Titolo1"/>
      </w:pPr>
      <w:r w:rsidRPr="00186726">
        <w:rPr>
          <w:noProof/>
        </w:rPr>
        <w:lastRenderedPageBreak/>
        <mc:AlternateContent>
          <mc:Choice Requires="wps">
            <w:drawing>
              <wp:anchor distT="0" distB="0" distL="114300" distR="114300" simplePos="0" relativeHeight="251685376" behindDoc="0" locked="0" layoutInCell="1" allowOverlap="1" wp14:anchorId="4472859B" wp14:editId="36BB9FF8">
                <wp:simplePos x="0" y="0"/>
                <wp:positionH relativeFrom="margin">
                  <wp:align>center</wp:align>
                </wp:positionH>
                <wp:positionV relativeFrom="paragraph">
                  <wp:posOffset>297815</wp:posOffset>
                </wp:positionV>
                <wp:extent cx="2438400" cy="0"/>
                <wp:effectExtent l="0" t="0" r="0" b="0"/>
                <wp:wrapNone/>
                <wp:docPr id="10"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19050">
                          <a:solidFill>
                            <a:srgbClr val="40404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506553" id="AutoShape 120" o:spid="_x0000_s1026" type="#_x0000_t32" style="position:absolute;margin-left:0;margin-top:23.45pt;width:192pt;height:0;z-index:2516853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" strokecolor="#404040" strokeweight="1.5pt">
                <w10:wrap anchorx="margin"/>
              </v:shape>
            </w:pict>
          </mc:Fallback>
        </mc:AlternateContent>
      </w:r>
      <w:r w:rsidR="008D15F0" w:rsidRPr="00E74279">
        <w:t>9.</w:t>
      </w:r>
      <w:r w:rsidRPr="007177D8">
        <w:br/>
      </w:r>
      <w:r w:rsidR="008D15F0" w:rsidRPr="00186726">
        <w:t>Le imposte patrimoniali estere</w:t>
      </w:r>
      <w:bookmarkEnd w:id="160"/>
    </w:p>
    <w:p w14:paraId="24BED7F6" w14:textId="77777777" w:rsidR="008D15F0" w:rsidRPr="00305AEB" w:rsidRDefault="008D15F0" w:rsidP="00186726">
      <w:pPr>
        <w:rPr>
          <w:rFonts w:cs="Tahoma"/>
        </w:rPr>
      </w:pPr>
    </w:p>
    <w:p w14:paraId="486FC060" w14:textId="77777777" w:rsidR="008D15F0" w:rsidRPr="00305AEB" w:rsidRDefault="008D15F0" w:rsidP="00186726">
      <w:pPr>
        <w:rPr>
          <w:rFonts w:cs="Tahoma"/>
        </w:rPr>
      </w:pPr>
    </w:p>
    <w:p w14:paraId="0233EBB6" w14:textId="29E8AC98" w:rsidR="008D15F0" w:rsidRPr="00305AEB" w:rsidRDefault="008D15F0" w:rsidP="00186726">
      <w:pPr>
        <w:rPr>
          <w:rFonts w:cs="Tahoma"/>
        </w:rPr>
      </w:pPr>
    </w:p>
    <w:p w14:paraId="5E321C88" w14:textId="437D7B07" w:rsidR="007630E9" w:rsidRPr="00305AEB" w:rsidRDefault="007630E9" w:rsidP="00186726">
      <w:pPr>
        <w:rPr>
          <w:rFonts w:cs="Tahoma"/>
        </w:rPr>
      </w:pPr>
    </w:p>
    <w:p w14:paraId="3FE58B6B" w14:textId="737E0B8B" w:rsidR="007630E9" w:rsidRPr="00305AEB" w:rsidRDefault="007630E9" w:rsidP="00186726">
      <w:pPr>
        <w:rPr>
          <w:rFonts w:cs="Tahoma"/>
        </w:rPr>
      </w:pPr>
    </w:p>
    <w:p w14:paraId="7EE56417" w14:textId="77777777" w:rsidR="007630E9" w:rsidRPr="00305AEB" w:rsidRDefault="007630E9" w:rsidP="00186726">
      <w:pPr>
        <w:rPr>
          <w:rFonts w:cs="Tahoma"/>
        </w:rPr>
      </w:pPr>
    </w:p>
    <w:p w14:paraId="1CE64783" w14:textId="77777777" w:rsidR="008D15F0" w:rsidRPr="00305AEB" w:rsidRDefault="008D15F0" w:rsidP="00186726">
      <w:pPr>
        <w:pStyle w:val="Sottotitolo"/>
        <w:rPr>
          <w:rFonts w:cs="Tahoma"/>
          <w:spacing w:val="0"/>
        </w:rPr>
      </w:pPr>
      <w:bookmarkStart w:id="161" w:name="_Toc161933223"/>
      <w:r w:rsidRPr="00305AEB">
        <w:rPr>
          <w:rFonts w:cs="Tahoma"/>
          <w:spacing w:val="0"/>
        </w:rPr>
        <w:t>9.1 IVIE</w:t>
      </w:r>
      <w:bookmarkEnd w:id="161"/>
    </w:p>
    <w:p w14:paraId="6E6DCD56" w14:textId="6BEB1C62" w:rsidR="0017636F" w:rsidRDefault="008D15F0" w:rsidP="00186726">
      <w:pPr>
        <w:tabs>
          <w:tab w:val="left" w:pos="709"/>
          <w:tab w:val="right" w:pos="8080"/>
        </w:tabs>
        <w:rPr>
          <w:rFonts w:cs="Tahoma"/>
          <w:szCs w:val="20"/>
        </w:rPr>
      </w:pPr>
      <w:r w:rsidRPr="00305AEB">
        <w:rPr>
          <w:rFonts w:cs="Tahoma"/>
          <w:szCs w:val="20"/>
        </w:rPr>
        <w:t>L’IVIE è un’imposta del</w:t>
      </w:r>
      <w:r w:rsidR="0017636F">
        <w:rPr>
          <w:rFonts w:cs="Tahoma"/>
          <w:szCs w:val="20"/>
        </w:rPr>
        <w:t>l’1.06%</w:t>
      </w:r>
      <w:r w:rsidRPr="00305AEB">
        <w:rPr>
          <w:rFonts w:cs="Tahoma"/>
          <w:szCs w:val="20"/>
        </w:rPr>
        <w:t xml:space="preserve"> sul valore degli immobili all’estero, a qualsiasi uso destinati (art. 19, comma 13 del D.L. n. 201/2011).</w:t>
      </w:r>
      <w:r w:rsidR="0017636F">
        <w:rPr>
          <w:rFonts w:cs="Tahoma"/>
          <w:szCs w:val="20"/>
        </w:rPr>
        <w:t xml:space="preserve"> Fino al 31.12.2023, si applicava l’aliquota dello 0,76%.</w:t>
      </w:r>
    </w:p>
    <w:p w14:paraId="70CA1C26" w14:textId="77777777" w:rsidR="008D15F0" w:rsidRPr="00305AEB" w:rsidRDefault="008D15F0" w:rsidP="00186726">
      <w:pPr>
        <w:tabs>
          <w:tab w:val="left" w:pos="709"/>
          <w:tab w:val="right" w:pos="8080"/>
        </w:tabs>
        <w:rPr>
          <w:rFonts w:cs="Tahoma"/>
          <w:szCs w:val="20"/>
        </w:rPr>
      </w:pPr>
      <w:r w:rsidRPr="00305AEB">
        <w:rPr>
          <w:rFonts w:cs="Tahoma"/>
          <w:szCs w:val="20"/>
        </w:rPr>
        <w:t>L’imposta deve essere liquidata all’interno del quadro RW relativo al monitoraggio fiscale insieme all’IVAFE.</w:t>
      </w:r>
    </w:p>
    <w:p w14:paraId="14A6C0A3" w14:textId="77777777" w:rsidR="000D3611" w:rsidRPr="00305AEB" w:rsidRDefault="008D15F0" w:rsidP="00186726">
      <w:pPr>
        <w:tabs>
          <w:tab w:val="left" w:pos="709"/>
          <w:tab w:val="right" w:pos="8080"/>
        </w:tabs>
        <w:rPr>
          <w:rFonts w:cs="Tahoma"/>
          <w:szCs w:val="20"/>
        </w:rPr>
      </w:pPr>
      <w:r w:rsidRPr="00305AEB">
        <w:rPr>
          <w:rFonts w:cs="Tahoma"/>
          <w:szCs w:val="20"/>
        </w:rPr>
        <w:t>In origine, l'imposta era dovuta dalle sole persone fisiche residenti.</w:t>
      </w:r>
    </w:p>
    <w:p w14:paraId="5C38F72B" w14:textId="77777777" w:rsidR="008D15F0" w:rsidRPr="00305AEB" w:rsidRDefault="008D15F0" w:rsidP="00186726">
      <w:pPr>
        <w:tabs>
          <w:tab w:val="left" w:pos="709"/>
          <w:tab w:val="right" w:pos="8080"/>
        </w:tabs>
        <w:rPr>
          <w:rFonts w:cs="Tahoma"/>
          <w:szCs w:val="20"/>
        </w:rPr>
      </w:pPr>
      <w:r w:rsidRPr="00305AEB">
        <w:rPr>
          <w:rFonts w:cs="Tahoma"/>
          <w:szCs w:val="20"/>
        </w:rPr>
        <w:t>A partire dall'1.1.2020, invece, essa sarà dovuta anche:</w:t>
      </w:r>
    </w:p>
    <w:p w14:paraId="106F112E" w14:textId="77777777" w:rsidR="008D15F0" w:rsidRPr="00305AEB" w:rsidRDefault="008D15F0" w:rsidP="00186726">
      <w:pPr>
        <w:pStyle w:val="Paragrafoelenco"/>
        <w:numPr>
          <w:ilvl w:val="0"/>
          <w:numId w:val="51"/>
        </w:numPr>
        <w:tabs>
          <w:tab w:val="left" w:pos="709"/>
          <w:tab w:val="right" w:pos="8080"/>
        </w:tabs>
        <w:rPr>
          <w:rFonts w:cs="Tahoma"/>
          <w:szCs w:val="20"/>
        </w:rPr>
      </w:pPr>
      <w:r w:rsidRPr="00305AEB">
        <w:rPr>
          <w:rFonts w:cs="Tahoma"/>
          <w:szCs w:val="20"/>
        </w:rPr>
        <w:t>dagli enti non commerciali, tra cui anche i trust e le fondazioni;</w:t>
      </w:r>
    </w:p>
    <w:p w14:paraId="0FF2BC0C" w14:textId="77777777" w:rsidR="008D15F0" w:rsidRPr="00305AEB" w:rsidRDefault="008D15F0" w:rsidP="00186726">
      <w:pPr>
        <w:pStyle w:val="Paragrafoelenco"/>
        <w:numPr>
          <w:ilvl w:val="0"/>
          <w:numId w:val="51"/>
        </w:numPr>
        <w:tabs>
          <w:tab w:val="left" w:pos="709"/>
          <w:tab w:val="right" w:pos="8080"/>
        </w:tabs>
        <w:rPr>
          <w:rFonts w:cs="Tahoma"/>
          <w:szCs w:val="20"/>
        </w:rPr>
      </w:pPr>
      <w:r w:rsidRPr="00305AEB">
        <w:rPr>
          <w:rFonts w:cs="Tahoma"/>
          <w:szCs w:val="20"/>
        </w:rPr>
        <w:t>dalle società semplici e gli enti alle stesse equiparati (ex art. 5 del TUIR).</w:t>
      </w:r>
    </w:p>
    <w:p w14:paraId="6E24E3E2" w14:textId="77777777" w:rsidR="000D3611" w:rsidRPr="00305AEB" w:rsidRDefault="000D3611" w:rsidP="00186726">
      <w:pPr>
        <w:pStyle w:val="NUOVOSOTTOPARAGRAFO"/>
        <w:rPr>
          <w:rFonts w:cs="Tahoma"/>
        </w:rPr>
      </w:pPr>
    </w:p>
    <w:p w14:paraId="184758E7" w14:textId="77777777" w:rsidR="008D15F0" w:rsidRPr="00305AEB" w:rsidRDefault="008D15F0" w:rsidP="00186726">
      <w:pPr>
        <w:pStyle w:val="NUOVOSOTTOPARAGRAFO"/>
        <w:rPr>
          <w:rFonts w:cs="Tahoma"/>
        </w:rPr>
      </w:pPr>
      <w:bookmarkStart w:id="162" w:name="_Toc161933224"/>
      <w:r w:rsidRPr="00305AEB">
        <w:rPr>
          <w:rFonts w:cs="Tahoma"/>
        </w:rPr>
        <w:t>9.1.1 Soggetti passivi</w:t>
      </w:r>
      <w:bookmarkEnd w:id="162"/>
    </w:p>
    <w:p w14:paraId="042A5CE1" w14:textId="77777777" w:rsidR="008D15F0" w:rsidRPr="00305AEB" w:rsidRDefault="008D15F0" w:rsidP="00186726">
      <w:pPr>
        <w:tabs>
          <w:tab w:val="left" w:pos="709"/>
          <w:tab w:val="right" w:pos="8080"/>
        </w:tabs>
        <w:rPr>
          <w:rFonts w:cs="Tahoma"/>
          <w:szCs w:val="20"/>
        </w:rPr>
      </w:pPr>
      <w:r w:rsidRPr="00305AEB">
        <w:rPr>
          <w:rFonts w:cs="Tahoma"/>
          <w:szCs w:val="20"/>
        </w:rPr>
        <w:t>Soggetto passivo dell'IVIE è il proprietario dell'immobile ovvero il titolare di altro diritto reale sullo stesso. Pertanto, devono assolvere l'IVIE:</w:t>
      </w:r>
    </w:p>
    <w:p w14:paraId="6839D7BD" w14:textId="77777777" w:rsidR="008D15F0" w:rsidRPr="00305AEB" w:rsidRDefault="008D15F0" w:rsidP="00186726">
      <w:pPr>
        <w:pStyle w:val="Paragrafoelenco"/>
        <w:numPr>
          <w:ilvl w:val="0"/>
          <w:numId w:val="52"/>
        </w:numPr>
        <w:tabs>
          <w:tab w:val="left" w:pos="7371"/>
          <w:tab w:val="right" w:pos="8080"/>
        </w:tabs>
        <w:rPr>
          <w:rFonts w:cs="Tahoma"/>
          <w:szCs w:val="20"/>
        </w:rPr>
      </w:pPr>
      <w:r w:rsidRPr="00305AEB">
        <w:rPr>
          <w:rFonts w:cs="Tahoma"/>
          <w:szCs w:val="20"/>
        </w:rPr>
        <w:t>il proprietario di fabbricati, aree fabbricabili e terreni a qualsiasi uso destinati, compresi quelli strumentali per natura o per destinazione destinati ad attività di impresa o di lavoro autonomo;</w:t>
      </w:r>
    </w:p>
    <w:p w14:paraId="0E1649C0" w14:textId="77777777" w:rsidR="008D15F0" w:rsidRPr="00305AEB" w:rsidRDefault="008D15F0" w:rsidP="00186726">
      <w:pPr>
        <w:pStyle w:val="Paragrafoelenco"/>
        <w:numPr>
          <w:ilvl w:val="0"/>
          <w:numId w:val="52"/>
        </w:numPr>
        <w:tabs>
          <w:tab w:val="left" w:pos="7371"/>
          <w:tab w:val="right" w:pos="8080"/>
        </w:tabs>
        <w:rPr>
          <w:rFonts w:cs="Tahoma"/>
          <w:szCs w:val="20"/>
        </w:rPr>
      </w:pPr>
      <w:r w:rsidRPr="00305AEB">
        <w:rPr>
          <w:rFonts w:cs="Tahoma"/>
          <w:szCs w:val="20"/>
        </w:rPr>
        <w:t>il titolare del diritto reale di usufrutto, uso o abitazione, enfiteusi e superficie sugli stessi (e non il titolare della nuda proprietà);</w:t>
      </w:r>
    </w:p>
    <w:p w14:paraId="0818074C" w14:textId="77777777" w:rsidR="008D15F0" w:rsidRPr="00305AEB" w:rsidRDefault="008D15F0" w:rsidP="00186726">
      <w:pPr>
        <w:pStyle w:val="Paragrafoelenco"/>
        <w:numPr>
          <w:ilvl w:val="0"/>
          <w:numId w:val="52"/>
        </w:numPr>
        <w:tabs>
          <w:tab w:val="left" w:pos="7371"/>
          <w:tab w:val="right" w:pos="8080"/>
        </w:tabs>
        <w:rPr>
          <w:rFonts w:cs="Tahoma"/>
          <w:szCs w:val="20"/>
        </w:rPr>
      </w:pPr>
      <w:r w:rsidRPr="00305AEB">
        <w:rPr>
          <w:rFonts w:cs="Tahoma"/>
          <w:szCs w:val="20"/>
        </w:rPr>
        <w:t>il concessionario nel caso di concessione di aree demaniali;</w:t>
      </w:r>
    </w:p>
    <w:p w14:paraId="1CDC9919" w14:textId="77777777" w:rsidR="008D15F0" w:rsidRPr="00305AEB" w:rsidRDefault="008D15F0" w:rsidP="00186726">
      <w:pPr>
        <w:pStyle w:val="Paragrafoelenco"/>
        <w:numPr>
          <w:ilvl w:val="0"/>
          <w:numId w:val="52"/>
        </w:numPr>
        <w:tabs>
          <w:tab w:val="left" w:pos="7371"/>
          <w:tab w:val="right" w:pos="8080"/>
        </w:tabs>
        <w:rPr>
          <w:rFonts w:cs="Tahoma"/>
          <w:szCs w:val="20"/>
        </w:rPr>
      </w:pPr>
      <w:r w:rsidRPr="00305AEB">
        <w:rPr>
          <w:rFonts w:cs="Tahoma"/>
          <w:szCs w:val="20"/>
        </w:rPr>
        <w:lastRenderedPageBreak/>
        <w:t>il locatario per gli immobili, anche da costruire o in corso di costruzione, concessi in locazione finanziaria. Il locatario è soggetto passivo a decorrere dalla data della stipula e per tutta la durata del contratto.</w:t>
      </w:r>
    </w:p>
    <w:p w14:paraId="7709C455" w14:textId="77777777" w:rsidR="005923A1" w:rsidRDefault="005923A1" w:rsidP="00186726">
      <w:pPr>
        <w:pStyle w:val="NUOVOSOTTOPARAGRAFO"/>
        <w:rPr>
          <w:rFonts w:cs="Tahoma"/>
        </w:rPr>
      </w:pPr>
    </w:p>
    <w:p w14:paraId="5979FDB2" w14:textId="3DF83B5A" w:rsidR="008D15F0" w:rsidRPr="00305AEB" w:rsidRDefault="008D15F0" w:rsidP="00186726">
      <w:pPr>
        <w:pStyle w:val="NUOVOSOTTOPARAGRAFO"/>
        <w:rPr>
          <w:rFonts w:cs="Tahoma"/>
        </w:rPr>
      </w:pPr>
      <w:bookmarkStart w:id="163" w:name="_Toc161933225"/>
      <w:r w:rsidRPr="00305AEB">
        <w:rPr>
          <w:rFonts w:cs="Tahoma"/>
        </w:rPr>
        <w:t>9.1.2 Aliquota e base imponibile</w:t>
      </w:r>
      <w:bookmarkEnd w:id="163"/>
    </w:p>
    <w:p w14:paraId="38068861" w14:textId="409C407C" w:rsidR="008D15F0" w:rsidRPr="00305AEB" w:rsidRDefault="008D15F0" w:rsidP="00186726">
      <w:pPr>
        <w:tabs>
          <w:tab w:val="left" w:pos="709"/>
          <w:tab w:val="right" w:pos="8080"/>
        </w:tabs>
        <w:rPr>
          <w:rFonts w:cs="Tahoma"/>
          <w:szCs w:val="20"/>
        </w:rPr>
      </w:pPr>
      <w:r w:rsidRPr="00305AEB">
        <w:rPr>
          <w:rFonts w:cs="Tahoma"/>
          <w:szCs w:val="20"/>
        </w:rPr>
        <w:t xml:space="preserve">L'IVIE prevede un'aliquota nella misura dello </w:t>
      </w:r>
      <w:r w:rsidR="00EB5021">
        <w:rPr>
          <w:rFonts w:cs="Tahoma"/>
          <w:szCs w:val="20"/>
        </w:rPr>
        <w:t>1</w:t>
      </w:r>
      <w:r w:rsidRPr="00305AEB">
        <w:rPr>
          <w:rFonts w:cs="Tahoma"/>
          <w:szCs w:val="20"/>
        </w:rPr>
        <w:t>,</w:t>
      </w:r>
      <w:r w:rsidR="00EB5021">
        <w:rPr>
          <w:rFonts w:cs="Tahoma"/>
          <w:szCs w:val="20"/>
        </w:rPr>
        <w:t>0</w:t>
      </w:r>
      <w:r w:rsidRPr="00305AEB">
        <w:rPr>
          <w:rFonts w:cs="Tahoma"/>
          <w:szCs w:val="20"/>
        </w:rPr>
        <w:t>6% applicata:</w:t>
      </w:r>
    </w:p>
    <w:p w14:paraId="6DAACE99" w14:textId="77777777" w:rsidR="008D15F0" w:rsidRPr="00305AEB" w:rsidRDefault="008D15F0" w:rsidP="00186726">
      <w:pPr>
        <w:pStyle w:val="Paragrafoelenco"/>
        <w:numPr>
          <w:ilvl w:val="0"/>
          <w:numId w:val="53"/>
        </w:numPr>
        <w:tabs>
          <w:tab w:val="left" w:pos="709"/>
          <w:tab w:val="right" w:pos="8080"/>
        </w:tabs>
        <w:rPr>
          <w:rFonts w:cs="Tahoma"/>
          <w:szCs w:val="20"/>
        </w:rPr>
      </w:pPr>
      <w:r w:rsidRPr="00305AEB">
        <w:rPr>
          <w:rFonts w:cs="Tahoma"/>
          <w:szCs w:val="20"/>
        </w:rPr>
        <w:t>sul costo risultante dall'atto o dal contratto di acquisto;</w:t>
      </w:r>
    </w:p>
    <w:p w14:paraId="4CC4A9DC" w14:textId="77777777" w:rsidR="008D15F0" w:rsidRPr="00305AEB" w:rsidRDefault="008D15F0" w:rsidP="00186726">
      <w:pPr>
        <w:pStyle w:val="Paragrafoelenco"/>
        <w:numPr>
          <w:ilvl w:val="0"/>
          <w:numId w:val="53"/>
        </w:numPr>
        <w:tabs>
          <w:tab w:val="left" w:pos="709"/>
          <w:tab w:val="right" w:pos="8080"/>
        </w:tabs>
        <w:rPr>
          <w:rFonts w:cs="Tahoma"/>
          <w:szCs w:val="20"/>
        </w:rPr>
      </w:pPr>
      <w:r w:rsidRPr="00305AEB">
        <w:rPr>
          <w:rFonts w:cs="Tahoma"/>
          <w:szCs w:val="20"/>
        </w:rPr>
        <w:t>e, in mancanza, secondo il valore di mercato rilevabile nel luogo in cui è situato l'immobile.</w:t>
      </w:r>
    </w:p>
    <w:p w14:paraId="2FB53484" w14:textId="77777777" w:rsidR="008D15F0" w:rsidRPr="00305AEB" w:rsidRDefault="008D15F0" w:rsidP="00186726">
      <w:pPr>
        <w:tabs>
          <w:tab w:val="left" w:pos="709"/>
          <w:tab w:val="right" w:pos="8080"/>
        </w:tabs>
        <w:rPr>
          <w:rFonts w:cs="Tahoma"/>
          <w:szCs w:val="20"/>
        </w:rPr>
      </w:pPr>
      <w:r w:rsidRPr="00305AEB">
        <w:rPr>
          <w:rFonts w:cs="Tahoma"/>
          <w:szCs w:val="20"/>
        </w:rPr>
        <w:t>Qualora la valorizzazione dei diritti reali diversi dalla proprietà (ad esempio, l'usufrutto) non sia rilevabile da un contratto, essa si assume secondo i criteri dettati dalla legislazione del Paese in cui l'immobile è situato.</w:t>
      </w:r>
      <w:r w:rsidRPr="00305AEB">
        <w:rPr>
          <w:rFonts w:cs="Tahoma"/>
          <w:szCs w:val="20"/>
        </w:rPr>
        <w:br/>
        <w:t>Nel caso in cui l'immobile sia stato costruito, si fa riferimento al costo di costruzione sostenuto dal proprietario e risultante dalla relativa documentazione.</w:t>
      </w:r>
    </w:p>
    <w:p w14:paraId="55AC6C64" w14:textId="77777777" w:rsidR="008D15F0" w:rsidRPr="00305AEB" w:rsidRDefault="008D15F0" w:rsidP="00186726">
      <w:pPr>
        <w:tabs>
          <w:tab w:val="left" w:pos="709"/>
          <w:tab w:val="right" w:pos="8080"/>
        </w:tabs>
        <w:rPr>
          <w:rFonts w:cs="Tahoma"/>
          <w:szCs w:val="20"/>
        </w:rPr>
      </w:pPr>
      <w:r w:rsidRPr="00305AEB">
        <w:rPr>
          <w:rFonts w:cs="Tahoma"/>
          <w:szCs w:val="20"/>
        </w:rPr>
        <w:t xml:space="preserve">Per quanto riguarda gli immobili acquisiti per successione o donazione, il valore è quello dichiarato nella dichiarazione di successione o nell'atto registrato o in altri atti previsti dagli ordinamenti esteri con finalità analoghe. In mancanza, si assume il costo di acquisto o di costruzione sostenuto dal de </w:t>
      </w:r>
      <w:proofErr w:type="spellStart"/>
      <w:r w:rsidRPr="00305AEB">
        <w:rPr>
          <w:rFonts w:cs="Tahoma"/>
          <w:szCs w:val="20"/>
        </w:rPr>
        <w:t>cuius</w:t>
      </w:r>
      <w:proofErr w:type="spellEnd"/>
      <w:r w:rsidRPr="00305AEB">
        <w:rPr>
          <w:rFonts w:cs="Tahoma"/>
          <w:szCs w:val="20"/>
        </w:rPr>
        <w:t xml:space="preserve"> o dal donante come risultante dalla relativa documentazione. In assenza di tale documentazione, si assume il valore di mercato come sopra determinato.</w:t>
      </w:r>
    </w:p>
    <w:p w14:paraId="52C71A42" w14:textId="77777777" w:rsidR="008D15F0" w:rsidRPr="00305AEB" w:rsidRDefault="008D15F0" w:rsidP="00186726">
      <w:pPr>
        <w:tabs>
          <w:tab w:val="left" w:pos="709"/>
          <w:tab w:val="right" w:pos="8080"/>
        </w:tabs>
        <w:rPr>
          <w:rFonts w:cs="Tahoma"/>
          <w:szCs w:val="20"/>
        </w:rPr>
      </w:pPr>
      <w:r w:rsidRPr="00305AEB">
        <w:rPr>
          <w:rFonts w:cs="Tahoma"/>
          <w:szCs w:val="20"/>
        </w:rPr>
        <w:t>In relazione agli immobili situati in Paesi appartenenti all’UE o in Paesi aderenti allo Spazio economico europeo che garantiscono un adeguato scambio di informazioni (ovvero, Norvegia, Islanda e Liechtenstein), il valore è quello catastale come determinato e rivalutato nel Paese in cui l’immobile è situato ai fini dell’assolvimento di imposte di natura patrimoniale o reddituale.</w:t>
      </w:r>
    </w:p>
    <w:p w14:paraId="3B473F54" w14:textId="77777777" w:rsidR="008D15F0" w:rsidRPr="00305AEB" w:rsidRDefault="008D15F0" w:rsidP="00186726">
      <w:pPr>
        <w:tabs>
          <w:tab w:val="left" w:pos="709"/>
          <w:tab w:val="right" w:pos="8080"/>
        </w:tabs>
        <w:rPr>
          <w:rFonts w:cs="Tahoma"/>
          <w:szCs w:val="20"/>
        </w:rPr>
      </w:pPr>
      <w:r w:rsidRPr="00305AEB">
        <w:rPr>
          <w:rFonts w:cs="Tahoma"/>
          <w:szCs w:val="20"/>
        </w:rPr>
        <w:t xml:space="preserve">Si tenga presente che tale criterio si applica anche se gli immobili sono pervenuti per successione o donazione. </w:t>
      </w:r>
    </w:p>
    <w:p w14:paraId="37553BD4" w14:textId="77777777" w:rsidR="000D3611" w:rsidRPr="00305AEB" w:rsidRDefault="008D15F0" w:rsidP="00186726">
      <w:pPr>
        <w:tabs>
          <w:tab w:val="left" w:pos="709"/>
          <w:tab w:val="right" w:pos="8080"/>
        </w:tabs>
        <w:rPr>
          <w:rFonts w:cs="Tahoma"/>
          <w:szCs w:val="20"/>
        </w:rPr>
      </w:pPr>
      <w:r w:rsidRPr="00305AEB">
        <w:rPr>
          <w:rFonts w:cs="Tahoma"/>
          <w:szCs w:val="20"/>
        </w:rPr>
        <w:t>In mancanza di questo valore, occorre utilizzare il costo risultante dall'atto o dal contratto di acquisto e, in assenza, il valore di mercato rilevabile nel luogo in cui è situato l'immobile.</w:t>
      </w:r>
    </w:p>
    <w:p w14:paraId="5BE50456" w14:textId="77777777" w:rsidR="008D15F0" w:rsidRPr="00305AEB" w:rsidRDefault="008D15F0" w:rsidP="00186726">
      <w:pPr>
        <w:tabs>
          <w:tab w:val="left" w:pos="709"/>
          <w:tab w:val="right" w:pos="8080"/>
        </w:tabs>
        <w:rPr>
          <w:rFonts w:cs="Tahoma"/>
          <w:szCs w:val="20"/>
        </w:rPr>
      </w:pPr>
      <w:r w:rsidRPr="00305AEB">
        <w:rPr>
          <w:rFonts w:cs="Tahoma"/>
          <w:szCs w:val="20"/>
        </w:rPr>
        <w:t>Per Belgio, Francia, Irlanda e Malta, la C.M. n. 28/E del 2012 consente di scegliere tra:</w:t>
      </w:r>
    </w:p>
    <w:p w14:paraId="7BE44CA7" w14:textId="77777777" w:rsidR="008D15F0" w:rsidRPr="00305AEB" w:rsidRDefault="008D15F0" w:rsidP="00186726">
      <w:pPr>
        <w:pStyle w:val="Paragrafoelenco"/>
        <w:numPr>
          <w:ilvl w:val="0"/>
          <w:numId w:val="54"/>
        </w:numPr>
        <w:tabs>
          <w:tab w:val="left" w:pos="709"/>
          <w:tab w:val="right" w:pos="8080"/>
        </w:tabs>
        <w:rPr>
          <w:rFonts w:cs="Tahoma"/>
          <w:szCs w:val="20"/>
        </w:rPr>
      </w:pPr>
      <w:r w:rsidRPr="00305AEB">
        <w:rPr>
          <w:rFonts w:cs="Tahoma"/>
          <w:szCs w:val="20"/>
        </w:rPr>
        <w:t>un valore locativo moltiplicato per i coefficienti validi ai fini IMU che sono riportati sopra,</w:t>
      </w:r>
    </w:p>
    <w:p w14:paraId="005D94B7" w14:textId="77777777" w:rsidR="008D15F0" w:rsidRPr="00305AEB" w:rsidRDefault="008D15F0" w:rsidP="00186726">
      <w:pPr>
        <w:pStyle w:val="Paragrafoelenco"/>
        <w:numPr>
          <w:ilvl w:val="0"/>
          <w:numId w:val="54"/>
        </w:numPr>
        <w:tabs>
          <w:tab w:val="left" w:pos="709"/>
          <w:tab w:val="right" w:pos="8080"/>
        </w:tabs>
        <w:rPr>
          <w:rFonts w:cs="Tahoma"/>
          <w:szCs w:val="20"/>
        </w:rPr>
      </w:pPr>
      <w:r w:rsidRPr="00305AEB">
        <w:rPr>
          <w:rFonts w:cs="Tahoma"/>
          <w:szCs w:val="20"/>
        </w:rPr>
        <w:t>ed il costo risultante dall'atto di acquisto.</w:t>
      </w:r>
    </w:p>
    <w:p w14:paraId="211ECF47" w14:textId="77777777" w:rsidR="000D3611" w:rsidRPr="00305AEB" w:rsidRDefault="000D3611" w:rsidP="00186726">
      <w:pPr>
        <w:pStyle w:val="NUOVOSOTTOPARAGRAFO"/>
        <w:rPr>
          <w:rFonts w:cs="Tahoma"/>
        </w:rPr>
      </w:pPr>
    </w:p>
    <w:p w14:paraId="3602A35F" w14:textId="51C43166" w:rsidR="008D15F0" w:rsidRPr="00305AEB" w:rsidRDefault="008D15F0" w:rsidP="00186726">
      <w:pPr>
        <w:pStyle w:val="NUOVOSOTTOPARAGRAFO"/>
        <w:rPr>
          <w:rFonts w:cs="Tahoma"/>
        </w:rPr>
      </w:pPr>
      <w:bookmarkStart w:id="164" w:name="_Toc161933226"/>
      <w:r w:rsidRPr="00305AEB">
        <w:rPr>
          <w:rFonts w:cs="Tahoma"/>
        </w:rPr>
        <w:lastRenderedPageBreak/>
        <w:t>9.1.3 Esclusione dall’IRPEF degli immobili esteri non locati</w:t>
      </w:r>
      <w:bookmarkEnd w:id="164"/>
    </w:p>
    <w:p w14:paraId="1E424DCD" w14:textId="77777777" w:rsidR="008D15F0" w:rsidRPr="00305AEB" w:rsidRDefault="008D15F0" w:rsidP="00186726">
      <w:pPr>
        <w:tabs>
          <w:tab w:val="left" w:pos="709"/>
          <w:tab w:val="right" w:pos="8080"/>
        </w:tabs>
        <w:rPr>
          <w:rFonts w:cs="Tahoma"/>
          <w:szCs w:val="20"/>
        </w:rPr>
      </w:pPr>
      <w:r w:rsidRPr="00305AEB">
        <w:rPr>
          <w:rFonts w:cs="Tahoma"/>
          <w:szCs w:val="20"/>
        </w:rPr>
        <w:t>Come anticipato nel capitolo relativo alla tassazione dei redditi immobiliari, per gli immobili esteri adibiti ad abitazione principale e per gli immobili non locati assoggettati all'IVIE, non si applica il disposto dell’art. 70, comma 2 del TUIR.</w:t>
      </w:r>
    </w:p>
    <w:p w14:paraId="18CB35E2" w14:textId="6DB27C97" w:rsidR="008D15F0" w:rsidRDefault="008D15F0" w:rsidP="00DD64F2">
      <w:pPr>
        <w:tabs>
          <w:tab w:val="left" w:pos="709"/>
          <w:tab w:val="right" w:pos="8080"/>
        </w:tabs>
        <w:rPr>
          <w:rFonts w:cs="Tahoma"/>
          <w:szCs w:val="20"/>
        </w:rPr>
      </w:pPr>
      <w:r w:rsidRPr="00305AEB">
        <w:rPr>
          <w:rFonts w:cs="Tahoma"/>
          <w:szCs w:val="20"/>
        </w:rPr>
        <w:t>Pertanto, nel caso in cui lo Stato estero preveda, nella sua legislazione interna, la tassazione dell'immobile in base a criteri di tipo catastale o similari, tale ammontare non concorrerà alla formazione del reddito in Italia in base alla valutazione effettuata dallo Stato estero se l'immobile è soggetto all'IVIE.</w:t>
      </w:r>
    </w:p>
    <w:p w14:paraId="03E21554" w14:textId="77777777" w:rsidR="00DD64F2" w:rsidRPr="007214C7" w:rsidRDefault="00DD64F2" w:rsidP="007214C7">
      <w:pPr>
        <w:tabs>
          <w:tab w:val="left" w:pos="709"/>
          <w:tab w:val="right" w:pos="8080"/>
        </w:tabs>
        <w:rPr>
          <w:rFonts w:cs="Tahoma"/>
          <w:szCs w:val="20"/>
        </w:rPr>
      </w:pPr>
    </w:p>
    <w:p w14:paraId="46DEEFA6" w14:textId="77777777" w:rsidR="008D15F0" w:rsidRPr="00305AEB" w:rsidRDefault="008D15F0" w:rsidP="00186726">
      <w:pPr>
        <w:pStyle w:val="NUOVOSOTTOPARAGRAFO"/>
        <w:rPr>
          <w:rFonts w:cs="Tahoma"/>
        </w:rPr>
      </w:pPr>
      <w:bookmarkStart w:id="165" w:name="_Toc161933227"/>
      <w:r w:rsidRPr="00305AEB">
        <w:rPr>
          <w:rFonts w:cs="Tahoma"/>
        </w:rPr>
        <w:t>9.1.4 Abitazione principale all’estero</w:t>
      </w:r>
      <w:bookmarkEnd w:id="165"/>
    </w:p>
    <w:p w14:paraId="719C9742" w14:textId="77777777" w:rsidR="008D15F0" w:rsidRPr="00305AEB" w:rsidRDefault="008D15F0" w:rsidP="00186726">
      <w:pPr>
        <w:tabs>
          <w:tab w:val="left" w:pos="709"/>
          <w:tab w:val="right" w:pos="8080"/>
        </w:tabs>
        <w:rPr>
          <w:rFonts w:cs="Tahoma"/>
          <w:szCs w:val="20"/>
        </w:rPr>
      </w:pPr>
      <w:r w:rsidRPr="00305AEB">
        <w:rPr>
          <w:rFonts w:cs="Tahoma"/>
          <w:szCs w:val="20"/>
        </w:rPr>
        <w:t>Per armonizzare l'IVIE, che si applica sugli immobili detenuti all'estero, con l'IMU, la quale assoggetta a tassazione gli immobili situati in Italia, la L. n. 208 del 2015 ha previsto che il tributo sugli immobili esteri non si applica: </w:t>
      </w:r>
    </w:p>
    <w:p w14:paraId="1F63A4A8" w14:textId="77777777" w:rsidR="008D15F0" w:rsidRPr="00305AEB" w:rsidRDefault="008D15F0" w:rsidP="00186726">
      <w:pPr>
        <w:pStyle w:val="Paragrafoelenco"/>
        <w:numPr>
          <w:ilvl w:val="0"/>
          <w:numId w:val="55"/>
        </w:numPr>
        <w:tabs>
          <w:tab w:val="left" w:pos="709"/>
          <w:tab w:val="right" w:pos="8080"/>
        </w:tabs>
        <w:rPr>
          <w:rFonts w:cs="Tahoma"/>
          <w:szCs w:val="20"/>
        </w:rPr>
      </w:pPr>
      <w:r w:rsidRPr="00305AEB">
        <w:rPr>
          <w:rFonts w:cs="Tahoma"/>
          <w:szCs w:val="20"/>
        </w:rPr>
        <w:t>al possesso dell'abitazione principale e delle pertinenze della stessa e</w:t>
      </w:r>
    </w:p>
    <w:p w14:paraId="4CB0873D" w14:textId="77777777" w:rsidR="008D15F0" w:rsidRPr="00305AEB" w:rsidRDefault="008D15F0" w:rsidP="00186726">
      <w:pPr>
        <w:pStyle w:val="Paragrafoelenco"/>
        <w:numPr>
          <w:ilvl w:val="0"/>
          <w:numId w:val="55"/>
        </w:numPr>
        <w:tabs>
          <w:tab w:val="left" w:pos="709"/>
          <w:tab w:val="right" w:pos="8080"/>
        </w:tabs>
        <w:rPr>
          <w:rFonts w:cs="Tahoma"/>
          <w:szCs w:val="20"/>
        </w:rPr>
      </w:pPr>
      <w:r w:rsidRPr="00305AEB">
        <w:rPr>
          <w:rFonts w:cs="Tahoma"/>
          <w:szCs w:val="20"/>
        </w:rPr>
        <w:t>alla casa coniugale assegnata al coniuge, a seguito di provvedimento di separazione legale, annullamento, scioglimento o cessazione degli effetti civili del matrimonio. </w:t>
      </w:r>
    </w:p>
    <w:p w14:paraId="2B411092" w14:textId="77777777" w:rsidR="008D15F0" w:rsidRPr="00305AEB" w:rsidRDefault="008D15F0" w:rsidP="00186726">
      <w:pPr>
        <w:tabs>
          <w:tab w:val="left" w:pos="709"/>
          <w:tab w:val="right" w:pos="8080"/>
        </w:tabs>
        <w:rPr>
          <w:rFonts w:cs="Tahoma"/>
          <w:szCs w:val="20"/>
        </w:rPr>
      </w:pPr>
      <w:r w:rsidRPr="00305AEB">
        <w:rPr>
          <w:rFonts w:cs="Tahoma"/>
          <w:szCs w:val="20"/>
        </w:rPr>
        <w:t>Tale esclusione prevede l'eccezione delle unità immobiliari che in Italia risultano classificate nelle categorie catastali A/1, A/8 e A/9, per le quali si applica l'aliquota nella misura ridotta dello 0,4% e la detrazione, fino a concorrenza del suo ammontare, di 200,00 euro rapportati al periodo dell'anno durante il quale si protrae tale destinazione. Inoltre, se l'unità immobiliare risulta adibita ad abitazione principale da più soggetti passivi, la detrazione spetta a ciascuno di essi proporzionalmente alla quota per la quale la destinazione medesima si verifica.</w:t>
      </w:r>
    </w:p>
    <w:p w14:paraId="7A25699B" w14:textId="77777777" w:rsidR="000D3611" w:rsidRPr="00305AEB" w:rsidRDefault="000D3611" w:rsidP="00186726">
      <w:pPr>
        <w:pStyle w:val="NUOVOSOTTOPARAGRAFO"/>
        <w:rPr>
          <w:rFonts w:cs="Tahoma"/>
        </w:rPr>
      </w:pPr>
    </w:p>
    <w:p w14:paraId="085164D6" w14:textId="77777777" w:rsidR="008D15F0" w:rsidRPr="00305AEB" w:rsidRDefault="008D15F0" w:rsidP="00186726">
      <w:pPr>
        <w:pStyle w:val="NUOVOSOTTOPARAGRAFO"/>
        <w:rPr>
          <w:rFonts w:cs="Tahoma"/>
        </w:rPr>
      </w:pPr>
      <w:bookmarkStart w:id="166" w:name="_Toc161933228"/>
      <w:r w:rsidRPr="00305AEB">
        <w:rPr>
          <w:rFonts w:cs="Tahoma"/>
        </w:rPr>
        <w:t>9.1.5 Determinazione dell’imposta e del credito di imposta</w:t>
      </w:r>
      <w:bookmarkEnd w:id="166"/>
    </w:p>
    <w:p w14:paraId="35960D3B" w14:textId="77777777" w:rsidR="008D15F0" w:rsidRPr="00305AEB" w:rsidRDefault="008D15F0" w:rsidP="00186726">
      <w:pPr>
        <w:tabs>
          <w:tab w:val="left" w:pos="709"/>
          <w:tab w:val="right" w:pos="8080"/>
        </w:tabs>
        <w:rPr>
          <w:rFonts w:cs="Tahoma"/>
          <w:szCs w:val="20"/>
        </w:rPr>
      </w:pPr>
      <w:r w:rsidRPr="00305AEB">
        <w:rPr>
          <w:rFonts w:cs="Tahoma"/>
          <w:szCs w:val="20"/>
        </w:rPr>
        <w:t>L'IVIE è dovuta proporzionalmente alla quota di possesso e ai mesi dell'anno nei quali si è protratto il possesso; a tal fine il mese durante il quale il possesso si è protratto per almeno 15 giorni è computato per intero.</w:t>
      </w:r>
    </w:p>
    <w:p w14:paraId="58865FB5" w14:textId="77777777" w:rsidR="008D15F0" w:rsidRPr="00305AEB" w:rsidRDefault="008D15F0" w:rsidP="00186726">
      <w:pPr>
        <w:tabs>
          <w:tab w:val="left" w:pos="709"/>
          <w:tab w:val="right" w:pos="8080"/>
        </w:tabs>
        <w:rPr>
          <w:rFonts w:cs="Tahoma"/>
          <w:szCs w:val="20"/>
        </w:rPr>
      </w:pPr>
      <w:r w:rsidRPr="00305AEB">
        <w:rPr>
          <w:rFonts w:cs="Tahoma"/>
          <w:szCs w:val="20"/>
        </w:rPr>
        <w:t>L'imposta non è dovuta se l'importo non supera i 200,00 euro.</w:t>
      </w:r>
    </w:p>
    <w:p w14:paraId="36128356" w14:textId="77777777" w:rsidR="008D15F0" w:rsidRPr="00305AEB" w:rsidRDefault="008D15F0" w:rsidP="00186726">
      <w:pPr>
        <w:tabs>
          <w:tab w:val="left" w:pos="709"/>
          <w:tab w:val="right" w:pos="8080"/>
        </w:tabs>
        <w:rPr>
          <w:rFonts w:cs="Tahoma"/>
          <w:szCs w:val="20"/>
        </w:rPr>
      </w:pPr>
      <w:r w:rsidRPr="00305AEB">
        <w:rPr>
          <w:rFonts w:cs="Tahoma"/>
          <w:szCs w:val="20"/>
        </w:rPr>
        <w:t xml:space="preserve">Analizzando quanto indicato dalle specifiche tecniche alla trasmissione del modello REDDITI, la franchigia si applica per ogni singolo immobile soggetto ad IVIE. In particolare, con riferimento alla colonna 13 del </w:t>
      </w:r>
      <w:r w:rsidRPr="00305AEB">
        <w:rPr>
          <w:rFonts w:cs="Tahoma"/>
          <w:szCs w:val="20"/>
        </w:rPr>
        <w:lastRenderedPageBreak/>
        <w:t xml:space="preserve">quadro RW, viene precisato </w:t>
      </w:r>
      <w:proofErr w:type="gramStart"/>
      <w:r w:rsidRPr="00305AEB">
        <w:rPr>
          <w:rFonts w:cs="Tahoma"/>
          <w:szCs w:val="20"/>
        </w:rPr>
        <w:t>che</w:t>
      </w:r>
      <w:proofErr w:type="gramEnd"/>
      <w:r w:rsidRPr="00305AEB">
        <w:rPr>
          <w:rFonts w:cs="Tahoma"/>
          <w:szCs w:val="20"/>
        </w:rPr>
        <w:t xml:space="preserve"> se il valore che si ottiene moltiplicando il valore dell'immobile per l'aliquota è inferiore a 200,00 la colonna 13 deve essere uguale a zero.</w:t>
      </w:r>
    </w:p>
    <w:p w14:paraId="7F45593F" w14:textId="77777777" w:rsidR="008D15F0" w:rsidRPr="00305AEB" w:rsidRDefault="008D15F0" w:rsidP="00186726">
      <w:pPr>
        <w:tabs>
          <w:tab w:val="left" w:pos="709"/>
          <w:tab w:val="right" w:pos="8080"/>
        </w:tabs>
        <w:rPr>
          <w:rFonts w:cs="Tahoma"/>
          <w:szCs w:val="20"/>
        </w:rPr>
      </w:pPr>
      <w:r w:rsidRPr="00305AEB">
        <w:rPr>
          <w:rFonts w:cs="Tahoma"/>
          <w:szCs w:val="20"/>
        </w:rPr>
        <w:t>Si osserva, infine, che ai fini dell'applicazione della soglia di esenzione di 200,00 euro si deve fare riferimento all'imposta determinata sul valore complessivo dell'immobile:</w:t>
      </w:r>
    </w:p>
    <w:p w14:paraId="227DD261" w14:textId="77777777" w:rsidR="008D15F0" w:rsidRPr="00305AEB" w:rsidRDefault="008D15F0" w:rsidP="00186726">
      <w:pPr>
        <w:pStyle w:val="Paragrafoelenco"/>
        <w:numPr>
          <w:ilvl w:val="0"/>
          <w:numId w:val="56"/>
        </w:numPr>
        <w:tabs>
          <w:tab w:val="left" w:pos="709"/>
          <w:tab w:val="right" w:pos="8080"/>
        </w:tabs>
        <w:rPr>
          <w:rFonts w:cs="Tahoma"/>
          <w:szCs w:val="20"/>
        </w:rPr>
      </w:pPr>
      <w:r w:rsidRPr="00305AEB">
        <w:rPr>
          <w:rFonts w:cs="Tahoma"/>
          <w:szCs w:val="20"/>
        </w:rPr>
        <w:t>a prescindere da quote e periodo di possesso;</w:t>
      </w:r>
    </w:p>
    <w:p w14:paraId="4FFC9CE4" w14:textId="77777777" w:rsidR="008D15F0" w:rsidRPr="00305AEB" w:rsidRDefault="008D15F0" w:rsidP="00186726">
      <w:pPr>
        <w:pStyle w:val="Paragrafoelenco"/>
        <w:numPr>
          <w:ilvl w:val="0"/>
          <w:numId w:val="56"/>
        </w:numPr>
        <w:tabs>
          <w:tab w:val="left" w:pos="709"/>
          <w:tab w:val="right" w:pos="8080"/>
        </w:tabs>
        <w:rPr>
          <w:rFonts w:cs="Tahoma"/>
          <w:szCs w:val="20"/>
        </w:rPr>
      </w:pPr>
      <w:r w:rsidRPr="00305AEB">
        <w:rPr>
          <w:rFonts w:cs="Tahoma"/>
          <w:szCs w:val="20"/>
        </w:rPr>
        <w:t>senza tenere conto delle detrazioni previste per l'eventuale scomputo dei crediti di imposta.</w:t>
      </w:r>
    </w:p>
    <w:p w14:paraId="291BC5E0" w14:textId="17241E55" w:rsidR="008D15F0" w:rsidRPr="00305AEB" w:rsidRDefault="008D15F0" w:rsidP="00186726">
      <w:pPr>
        <w:tabs>
          <w:tab w:val="left" w:pos="709"/>
          <w:tab w:val="right" w:pos="8080"/>
        </w:tabs>
        <w:rPr>
          <w:rFonts w:cs="Tahoma"/>
          <w:szCs w:val="20"/>
        </w:rPr>
      </w:pPr>
      <w:r w:rsidRPr="00305AEB">
        <w:rPr>
          <w:rFonts w:cs="Tahoma"/>
          <w:szCs w:val="20"/>
        </w:rPr>
        <w:t xml:space="preserve">Inoltre, dall'imposta patrimoniale dello </w:t>
      </w:r>
      <w:r w:rsidR="00266A71">
        <w:rPr>
          <w:rFonts w:cs="Tahoma"/>
          <w:szCs w:val="20"/>
        </w:rPr>
        <w:t>1</w:t>
      </w:r>
      <w:r w:rsidRPr="00305AEB">
        <w:rPr>
          <w:rFonts w:cs="Tahoma"/>
          <w:szCs w:val="20"/>
        </w:rPr>
        <w:t>,</w:t>
      </w:r>
      <w:r w:rsidR="00266A71">
        <w:rPr>
          <w:rFonts w:cs="Tahoma"/>
          <w:szCs w:val="20"/>
        </w:rPr>
        <w:t>0</w:t>
      </w:r>
      <w:r w:rsidRPr="00305AEB">
        <w:rPr>
          <w:rFonts w:cs="Tahoma"/>
          <w:szCs w:val="20"/>
        </w:rPr>
        <w:t>6% si deduce, fino a concorrenza del suo ammontare, un credito di imposta pari all'ammontare dell'eventuale imposta patrimoniale versata nello Stato in cui è situato l'immobile. In sostanza, dall'IVIE dovuta per l'anno si scomputa l'imposta patrimoniale pagata all'estero nel medesimo anno.</w:t>
      </w:r>
    </w:p>
    <w:p w14:paraId="2982DD32" w14:textId="77777777" w:rsidR="000D3611" w:rsidRPr="00305AEB" w:rsidRDefault="000D3611" w:rsidP="00186726">
      <w:pPr>
        <w:pStyle w:val="NUOVOSOTTOPARAGRAFO"/>
        <w:rPr>
          <w:rFonts w:cs="Tahoma"/>
        </w:rPr>
      </w:pPr>
    </w:p>
    <w:p w14:paraId="1C6C9132" w14:textId="77777777" w:rsidR="008D15F0" w:rsidRPr="00305AEB" w:rsidRDefault="008D15F0" w:rsidP="00186726">
      <w:pPr>
        <w:pStyle w:val="NUOVOSOTTOPARAGRAFO"/>
        <w:rPr>
          <w:rFonts w:cs="Tahoma"/>
        </w:rPr>
      </w:pPr>
      <w:bookmarkStart w:id="167" w:name="_Toc161933229"/>
      <w:r w:rsidRPr="00305AEB">
        <w:rPr>
          <w:rFonts w:cs="Tahoma"/>
        </w:rPr>
        <w:t>9.1.6 Versamento, liquidazione, accertamento e riscossione</w:t>
      </w:r>
      <w:bookmarkEnd w:id="167"/>
    </w:p>
    <w:p w14:paraId="0C0AF054" w14:textId="77777777" w:rsidR="008D15F0" w:rsidRPr="00305AEB" w:rsidRDefault="008D15F0" w:rsidP="00186726">
      <w:pPr>
        <w:tabs>
          <w:tab w:val="left" w:pos="709"/>
          <w:tab w:val="right" w:pos="8080"/>
        </w:tabs>
        <w:rPr>
          <w:rFonts w:cs="Tahoma"/>
          <w:szCs w:val="20"/>
        </w:rPr>
      </w:pPr>
      <w:r w:rsidRPr="00305AEB">
        <w:rPr>
          <w:rFonts w:cs="Tahoma"/>
          <w:szCs w:val="20"/>
        </w:rPr>
        <w:t>Per il versamento, la liquidazione, l'accertamento, la riscossione, le sanzioni e i rimborsi nonché per il contenzioso, relativamente all'imposta sugli immobili esteri, si applicano le disposizioni previste per l'IRPEF.</w:t>
      </w:r>
    </w:p>
    <w:p w14:paraId="1AB26CBB" w14:textId="77777777" w:rsidR="000D3611" w:rsidRPr="00305AEB" w:rsidRDefault="000D3611" w:rsidP="00186726">
      <w:pPr>
        <w:pStyle w:val="NUOVOSOTTOPARAGRAFO"/>
        <w:rPr>
          <w:rFonts w:cs="Tahoma"/>
        </w:rPr>
      </w:pPr>
    </w:p>
    <w:p w14:paraId="4A020DD6" w14:textId="77777777" w:rsidR="008D15F0" w:rsidRPr="00305AEB" w:rsidRDefault="008D15F0" w:rsidP="00186726">
      <w:pPr>
        <w:pStyle w:val="NUOVOSOTTOPARAGRAFO"/>
        <w:rPr>
          <w:rFonts w:cs="Tahoma"/>
        </w:rPr>
      </w:pPr>
      <w:bookmarkStart w:id="168" w:name="_Toc161933230"/>
      <w:r w:rsidRPr="00305AEB">
        <w:rPr>
          <w:rFonts w:cs="Tahoma"/>
        </w:rPr>
        <w:t>9.1.7 Esempio calcolo IVIE</w:t>
      </w:r>
      <w:bookmarkEnd w:id="168"/>
    </w:p>
    <w:p w14:paraId="4BD9A4A8" w14:textId="5FAC7141" w:rsidR="008D15F0" w:rsidRPr="00305AEB" w:rsidRDefault="008D15F0" w:rsidP="00186726">
      <w:pPr>
        <w:tabs>
          <w:tab w:val="left" w:pos="709"/>
          <w:tab w:val="right" w:pos="8080"/>
        </w:tabs>
        <w:rPr>
          <w:rFonts w:cs="Tahoma"/>
          <w:szCs w:val="20"/>
        </w:rPr>
      </w:pPr>
      <w:r w:rsidRPr="00305AEB">
        <w:rPr>
          <w:rFonts w:cs="Tahoma"/>
          <w:szCs w:val="20"/>
        </w:rPr>
        <w:t>Si ipotizza che il sig. Rossi abbia acquistato in data 14.6.</w:t>
      </w:r>
      <w:r w:rsidR="00D339D4" w:rsidRPr="00305AEB">
        <w:rPr>
          <w:rFonts w:cs="Tahoma"/>
          <w:szCs w:val="20"/>
        </w:rPr>
        <w:t>202</w:t>
      </w:r>
      <w:r w:rsidR="00151452">
        <w:rPr>
          <w:rFonts w:cs="Tahoma"/>
          <w:szCs w:val="20"/>
        </w:rPr>
        <w:t>3</w:t>
      </w:r>
      <w:r w:rsidRPr="00305AEB">
        <w:rPr>
          <w:rFonts w:cs="Tahoma"/>
          <w:szCs w:val="20"/>
        </w:rPr>
        <w:t xml:space="preserve"> un immobile situato in Brasile al prezzo di 600.000 </w:t>
      </w:r>
      <w:proofErr w:type="gramStart"/>
      <w:r w:rsidRPr="00305AEB">
        <w:rPr>
          <w:rFonts w:cs="Tahoma"/>
          <w:szCs w:val="20"/>
        </w:rPr>
        <w:t>Euro</w:t>
      </w:r>
      <w:proofErr w:type="gramEnd"/>
      <w:r w:rsidRPr="00305AEB">
        <w:rPr>
          <w:rFonts w:cs="Tahoma"/>
          <w:szCs w:val="20"/>
        </w:rPr>
        <w:t xml:space="preserve">. Pertanto, ai fini dell'imposta, tale immobile rileva per i 7/12, ossia per un valore di 350.000 </w:t>
      </w:r>
      <w:proofErr w:type="gramStart"/>
      <w:r w:rsidRPr="00305AEB">
        <w:rPr>
          <w:rFonts w:cs="Tahoma"/>
          <w:szCs w:val="20"/>
        </w:rPr>
        <w:t>Euro</w:t>
      </w:r>
      <w:proofErr w:type="gramEnd"/>
      <w:r w:rsidRPr="00305AEB">
        <w:rPr>
          <w:rFonts w:cs="Tahoma"/>
          <w:szCs w:val="20"/>
        </w:rPr>
        <w:t>.</w:t>
      </w:r>
    </w:p>
    <w:p w14:paraId="778E99AB" w14:textId="7581A44D" w:rsidR="008D15F0" w:rsidRPr="00305AEB" w:rsidRDefault="008D15F0" w:rsidP="00186726">
      <w:pPr>
        <w:tabs>
          <w:tab w:val="left" w:pos="709"/>
          <w:tab w:val="right" w:pos="8080"/>
        </w:tabs>
        <w:rPr>
          <w:rFonts w:cs="Tahoma"/>
          <w:szCs w:val="20"/>
        </w:rPr>
      </w:pPr>
      <w:r w:rsidRPr="00305AEB">
        <w:rPr>
          <w:rFonts w:cs="Tahoma"/>
          <w:szCs w:val="20"/>
        </w:rPr>
        <w:t xml:space="preserve">Supponendo che in Brasile non siano dovute imposte patrimoniali, l'imposta sugli immobili esteri per il </w:t>
      </w:r>
      <w:r w:rsidR="00D339D4" w:rsidRPr="00305AEB">
        <w:rPr>
          <w:rFonts w:cs="Tahoma"/>
          <w:szCs w:val="20"/>
        </w:rPr>
        <w:t>202</w:t>
      </w:r>
      <w:r w:rsidR="00151452">
        <w:rPr>
          <w:rFonts w:cs="Tahoma"/>
          <w:szCs w:val="20"/>
        </w:rPr>
        <w:t>3</w:t>
      </w:r>
      <w:r w:rsidRPr="00305AEB">
        <w:rPr>
          <w:rFonts w:cs="Tahoma"/>
          <w:szCs w:val="20"/>
        </w:rPr>
        <w:t xml:space="preserve"> ammonta a 0,76% × 350.000 = 2.660 </w:t>
      </w:r>
      <w:proofErr w:type="gramStart"/>
      <w:r w:rsidRPr="00305AEB">
        <w:rPr>
          <w:rFonts w:cs="Tahoma"/>
          <w:szCs w:val="20"/>
        </w:rPr>
        <w:t>Euro</w:t>
      </w:r>
      <w:proofErr w:type="gramEnd"/>
      <w:r w:rsidRPr="00305AEB">
        <w:rPr>
          <w:rFonts w:cs="Tahoma"/>
          <w:szCs w:val="20"/>
        </w:rPr>
        <w:t>.</w:t>
      </w:r>
    </w:p>
    <w:p w14:paraId="34AA30C1" w14:textId="77777777" w:rsidR="000D3611" w:rsidRPr="00305AEB" w:rsidRDefault="000D3611" w:rsidP="00186726">
      <w:pPr>
        <w:pStyle w:val="Sottotitolo"/>
        <w:rPr>
          <w:rFonts w:cs="Tahoma"/>
          <w:spacing w:val="0"/>
        </w:rPr>
      </w:pPr>
    </w:p>
    <w:p w14:paraId="7A8245F9" w14:textId="0B6BBCD8" w:rsidR="002A333F" w:rsidRPr="00305AEB" w:rsidRDefault="002A333F" w:rsidP="00186726">
      <w:pPr>
        <w:pStyle w:val="NUOVOSOTTOPARAGRAFO"/>
        <w:rPr>
          <w:rFonts w:cs="Tahoma"/>
        </w:rPr>
      </w:pPr>
      <w:bookmarkStart w:id="169" w:name="_Toc161933231"/>
      <w:r w:rsidRPr="00305AEB">
        <w:rPr>
          <w:rFonts w:cs="Tahoma"/>
        </w:rPr>
        <w:t>9.1.8 Brexit ed effetti sull’IVIE</w:t>
      </w:r>
      <w:bookmarkEnd w:id="169"/>
    </w:p>
    <w:p w14:paraId="72C36CBF" w14:textId="49DD6EDB" w:rsidR="002A333F" w:rsidRPr="00305AEB" w:rsidRDefault="000B6384" w:rsidP="00186726">
      <w:pPr>
        <w:tabs>
          <w:tab w:val="left" w:pos="709"/>
          <w:tab w:val="right" w:pos="8080"/>
        </w:tabs>
        <w:rPr>
          <w:rFonts w:cs="Tahoma"/>
          <w:szCs w:val="20"/>
        </w:rPr>
      </w:pPr>
      <w:r w:rsidRPr="00305AEB">
        <w:rPr>
          <w:rFonts w:cs="Tahoma"/>
          <w:szCs w:val="20"/>
        </w:rPr>
        <w:t>Un effetto della Brexit è rappresentato da un mutamento della base imponibile ai fini IVIE degli immobili detenuti nel Regno Unito.</w:t>
      </w:r>
    </w:p>
    <w:p w14:paraId="713CF059" w14:textId="69077C2B" w:rsidR="000B6384" w:rsidRPr="00305AEB" w:rsidRDefault="000B6384" w:rsidP="00186726">
      <w:pPr>
        <w:tabs>
          <w:tab w:val="left" w:pos="709"/>
          <w:tab w:val="right" w:pos="8080"/>
        </w:tabs>
        <w:rPr>
          <w:rFonts w:cs="Tahoma"/>
          <w:szCs w:val="20"/>
        </w:rPr>
      </w:pPr>
      <w:r w:rsidRPr="00305AEB">
        <w:rPr>
          <w:rFonts w:cs="Tahoma"/>
          <w:szCs w:val="20"/>
        </w:rPr>
        <w:lastRenderedPageBreak/>
        <w:t>Come previsto dall’</w:t>
      </w:r>
      <w:r w:rsidR="00056C08" w:rsidRPr="00305AEB">
        <w:rPr>
          <w:rFonts w:cs="Tahoma"/>
          <w:szCs w:val="20"/>
        </w:rPr>
        <w:t xml:space="preserve">articolo 19, comma 15, D.L. n. 201/2011, il valore su cui applicare l’aliquota dello </w:t>
      </w:r>
      <w:r w:rsidR="00151452">
        <w:rPr>
          <w:rFonts w:cs="Tahoma"/>
          <w:szCs w:val="20"/>
        </w:rPr>
        <w:t>1</w:t>
      </w:r>
      <w:r w:rsidR="00056C08" w:rsidRPr="00305AEB">
        <w:rPr>
          <w:rFonts w:cs="Tahoma"/>
          <w:szCs w:val="20"/>
        </w:rPr>
        <w:t>,</w:t>
      </w:r>
      <w:r w:rsidR="00151452">
        <w:rPr>
          <w:rFonts w:cs="Tahoma"/>
          <w:szCs w:val="20"/>
        </w:rPr>
        <w:t>0</w:t>
      </w:r>
      <w:r w:rsidR="00056C08" w:rsidRPr="00305AEB">
        <w:rPr>
          <w:rFonts w:cs="Tahoma"/>
          <w:szCs w:val="20"/>
        </w:rPr>
        <w:t xml:space="preserve">6% è costituito dal costo risultante </w:t>
      </w:r>
      <w:r w:rsidR="000D1891" w:rsidRPr="00305AEB">
        <w:rPr>
          <w:rFonts w:cs="Tahoma"/>
          <w:szCs w:val="20"/>
        </w:rPr>
        <w:t>dall’atto di acquisto o dai contratti e, in mancanza, secondo il valore di mercato rilevabile nel luogo in cui è situato l’immobile.</w:t>
      </w:r>
    </w:p>
    <w:p w14:paraId="53AE349A" w14:textId="1CA81302" w:rsidR="00A93C9B" w:rsidRPr="00305AEB" w:rsidRDefault="00A93C9B" w:rsidP="00186726">
      <w:pPr>
        <w:tabs>
          <w:tab w:val="left" w:pos="709"/>
          <w:tab w:val="right" w:pos="8080"/>
        </w:tabs>
        <w:rPr>
          <w:rFonts w:cs="Tahoma"/>
          <w:szCs w:val="20"/>
        </w:rPr>
      </w:pPr>
      <w:r w:rsidRPr="00305AEB">
        <w:rPr>
          <w:rFonts w:cs="Tahoma"/>
          <w:szCs w:val="20"/>
        </w:rPr>
        <w:t xml:space="preserve">Il cambiamento con la Brexit attiene all’impossibilità di applicare il periodo successivo di tale comma che dispone che </w:t>
      </w:r>
      <w:r w:rsidR="0003004E" w:rsidRPr="00305AEB">
        <w:rPr>
          <w:rFonts w:cs="Tahoma"/>
          <w:szCs w:val="20"/>
        </w:rPr>
        <w:t xml:space="preserve">per </w:t>
      </w:r>
      <w:r w:rsidRPr="00305AEB">
        <w:rPr>
          <w:rFonts w:cs="Tahoma"/>
          <w:szCs w:val="20"/>
        </w:rPr>
        <w:t>gli immobili situati in Paesi appartenenti all’UE o in Paesi aderenti allo Spazio economico europeo</w:t>
      </w:r>
      <w:r w:rsidR="0003004E" w:rsidRPr="00305AEB">
        <w:rPr>
          <w:rFonts w:cs="Tahoma"/>
          <w:szCs w:val="20"/>
        </w:rPr>
        <w:t xml:space="preserve"> che garantiscono un adeguato scambio di informazioni, il valore è quello catastale come determinato e rivalutato nel Paese in cui l’immobile è situato ai fini</w:t>
      </w:r>
      <w:r w:rsidR="00657E12" w:rsidRPr="00305AEB">
        <w:rPr>
          <w:rFonts w:cs="Tahoma"/>
          <w:szCs w:val="20"/>
        </w:rPr>
        <w:t xml:space="preserve"> dell’assolvimento di imposte di natura patrimoniale o reddituale o, in mancanza, quello di cui al periodo precedente.</w:t>
      </w:r>
    </w:p>
    <w:p w14:paraId="452E4F61" w14:textId="10A53E30" w:rsidR="00657E12" w:rsidRPr="00305AEB" w:rsidRDefault="000D63F8" w:rsidP="00186726">
      <w:pPr>
        <w:tabs>
          <w:tab w:val="left" w:pos="709"/>
          <w:tab w:val="right" w:pos="8080"/>
        </w:tabs>
        <w:rPr>
          <w:rFonts w:cs="Tahoma"/>
          <w:szCs w:val="20"/>
        </w:rPr>
      </w:pPr>
      <w:r w:rsidRPr="00305AEB">
        <w:rPr>
          <w:rFonts w:cs="Tahoma"/>
          <w:szCs w:val="20"/>
        </w:rPr>
        <w:t>Quindi, il fatto che il Regno Unito non sia confluito nello Spazio Economico Europeo impedisce di applicare questo criterio catastale.</w:t>
      </w:r>
    </w:p>
    <w:p w14:paraId="6A989468" w14:textId="186080FE" w:rsidR="002A333F" w:rsidRPr="00305AEB" w:rsidRDefault="009839E1" w:rsidP="00186726">
      <w:pPr>
        <w:tabs>
          <w:tab w:val="left" w:pos="709"/>
          <w:tab w:val="right" w:pos="8080"/>
        </w:tabs>
        <w:rPr>
          <w:rFonts w:cs="Tahoma"/>
          <w:szCs w:val="20"/>
        </w:rPr>
      </w:pPr>
      <w:r w:rsidRPr="00305AEB">
        <w:rPr>
          <w:rFonts w:cs="Tahoma"/>
          <w:szCs w:val="20"/>
        </w:rPr>
        <w:t xml:space="preserve">Non </w:t>
      </w:r>
      <w:r w:rsidR="00763344" w:rsidRPr="00305AEB">
        <w:rPr>
          <w:rFonts w:cs="Tahoma"/>
          <w:szCs w:val="20"/>
        </w:rPr>
        <w:t>si può</w:t>
      </w:r>
      <w:r w:rsidRPr="00305AEB">
        <w:rPr>
          <w:rFonts w:cs="Tahoma"/>
          <w:szCs w:val="20"/>
        </w:rPr>
        <w:t xml:space="preserve"> più applicare la base imponibile della </w:t>
      </w:r>
      <w:proofErr w:type="spellStart"/>
      <w:r w:rsidRPr="00305AEB">
        <w:rPr>
          <w:rFonts w:cs="Tahoma"/>
          <w:szCs w:val="20"/>
        </w:rPr>
        <w:t>council</w:t>
      </w:r>
      <w:proofErr w:type="spellEnd"/>
      <w:r w:rsidRPr="00305AEB">
        <w:rPr>
          <w:rFonts w:cs="Tahoma"/>
          <w:szCs w:val="20"/>
        </w:rPr>
        <w:t xml:space="preserve"> tax menzionata dalla C.M. n. 28/E del 2012 e affrontata anche nella R.M. n. 75/E del 2013, dove l’Agenzia delle Entrate aveva avallato la tesi di utilizzare come base imponibile della </w:t>
      </w:r>
      <w:proofErr w:type="spellStart"/>
      <w:r w:rsidRPr="00305AEB">
        <w:rPr>
          <w:rFonts w:cs="Tahoma"/>
          <w:szCs w:val="20"/>
        </w:rPr>
        <w:t>council</w:t>
      </w:r>
      <w:proofErr w:type="spellEnd"/>
      <w:r w:rsidRPr="00305AEB">
        <w:rPr>
          <w:rFonts w:cs="Tahoma"/>
          <w:szCs w:val="20"/>
        </w:rPr>
        <w:t xml:space="preserve"> tax la media del range di riferimento. In sostanza, la </w:t>
      </w:r>
      <w:proofErr w:type="spellStart"/>
      <w:r w:rsidRPr="00305AEB">
        <w:rPr>
          <w:rFonts w:cs="Tahoma"/>
          <w:szCs w:val="20"/>
        </w:rPr>
        <w:t>council</w:t>
      </w:r>
      <w:proofErr w:type="spellEnd"/>
      <w:r w:rsidRPr="00305AEB">
        <w:rPr>
          <w:rFonts w:cs="Tahoma"/>
          <w:szCs w:val="20"/>
        </w:rPr>
        <w:t xml:space="preserve"> tax non determina una puntuale base imponibile, bensì una banda compresa tra due valori.</w:t>
      </w:r>
    </w:p>
    <w:p w14:paraId="73EE74E5" w14:textId="580DB98B" w:rsidR="002A333F" w:rsidRPr="00305AEB" w:rsidRDefault="00EC3B88" w:rsidP="00186726">
      <w:pPr>
        <w:tabs>
          <w:tab w:val="left" w:pos="709"/>
          <w:tab w:val="right" w:pos="8080"/>
        </w:tabs>
      </w:pPr>
      <w:r w:rsidRPr="00305AEB">
        <w:rPr>
          <w:rFonts w:cs="Tahoma"/>
          <w:szCs w:val="20"/>
        </w:rPr>
        <w:t xml:space="preserve">Questo criterio </w:t>
      </w:r>
      <w:r w:rsidR="00763344" w:rsidRPr="00305AEB">
        <w:rPr>
          <w:rFonts w:cs="Tahoma"/>
          <w:szCs w:val="20"/>
        </w:rPr>
        <w:t>è terminato</w:t>
      </w:r>
      <w:r w:rsidRPr="00305AEB">
        <w:rPr>
          <w:rFonts w:cs="Tahoma"/>
          <w:szCs w:val="20"/>
        </w:rPr>
        <w:t xml:space="preserve"> con il quadro RW 2021 per il 2020. A partire dal quadro RW 2022 (per l’anno 2021) </w:t>
      </w:r>
      <w:r w:rsidR="00763344" w:rsidRPr="00305AEB">
        <w:rPr>
          <w:rFonts w:cs="Tahoma"/>
          <w:szCs w:val="20"/>
        </w:rPr>
        <w:t>è necessario</w:t>
      </w:r>
      <w:r w:rsidRPr="00305AEB">
        <w:rPr>
          <w:rFonts w:cs="Tahoma"/>
          <w:szCs w:val="20"/>
        </w:rPr>
        <w:t xml:space="preserve"> utilizzare il costo storico, debitamente documentato e, in mancanza, il valore di mercato opportunamente periziato. Questo sicuramente comporterà per le persone fisiche, dal prossimo anno, </w:t>
      </w:r>
      <w:r w:rsidR="00627E0F" w:rsidRPr="00305AEB">
        <w:rPr>
          <w:rFonts w:cs="Tahoma"/>
          <w:szCs w:val="20"/>
        </w:rPr>
        <w:t>un incremento della pressione fiscale italiana.</w:t>
      </w:r>
    </w:p>
    <w:p w14:paraId="1E0773E6" w14:textId="77777777" w:rsidR="002A333F" w:rsidRPr="00305AEB" w:rsidRDefault="002A333F" w:rsidP="00186726"/>
    <w:p w14:paraId="001D2ADE" w14:textId="77777777" w:rsidR="008D15F0" w:rsidRPr="00305AEB" w:rsidRDefault="008D15F0" w:rsidP="00186726">
      <w:pPr>
        <w:pStyle w:val="Sottotitolo"/>
        <w:rPr>
          <w:rFonts w:cs="Tahoma"/>
          <w:spacing w:val="0"/>
        </w:rPr>
      </w:pPr>
      <w:bookmarkStart w:id="170" w:name="_Toc161933232"/>
      <w:r w:rsidRPr="00305AEB">
        <w:rPr>
          <w:rFonts w:cs="Tahoma"/>
          <w:spacing w:val="0"/>
        </w:rPr>
        <w:t>9.2 IVAFE</w:t>
      </w:r>
      <w:bookmarkEnd w:id="170"/>
    </w:p>
    <w:p w14:paraId="7A023673" w14:textId="77777777" w:rsidR="008D15F0" w:rsidRPr="00305AEB" w:rsidRDefault="008D15F0" w:rsidP="00186726">
      <w:pPr>
        <w:tabs>
          <w:tab w:val="left" w:pos="709"/>
          <w:tab w:val="right" w:pos="8080"/>
        </w:tabs>
        <w:rPr>
          <w:rFonts w:cs="Tahoma"/>
          <w:szCs w:val="20"/>
        </w:rPr>
      </w:pPr>
      <w:r w:rsidRPr="00305AEB">
        <w:rPr>
          <w:rFonts w:cs="Tahoma"/>
          <w:szCs w:val="20"/>
        </w:rPr>
        <w:t>L’IVAFE è un’imposta dello 0,2% che si applica sul valore dei prodotti finanziari detenuti all’estero.</w:t>
      </w:r>
    </w:p>
    <w:p w14:paraId="41EFD5A3" w14:textId="77777777" w:rsidR="008D15F0" w:rsidRPr="00305AEB" w:rsidRDefault="008D15F0" w:rsidP="00186726">
      <w:pPr>
        <w:tabs>
          <w:tab w:val="left" w:pos="709"/>
          <w:tab w:val="right" w:pos="8080"/>
        </w:tabs>
        <w:rPr>
          <w:rFonts w:cs="Tahoma"/>
          <w:szCs w:val="20"/>
        </w:rPr>
      </w:pPr>
      <w:r w:rsidRPr="00305AEB">
        <w:rPr>
          <w:rFonts w:cs="Tahoma"/>
          <w:szCs w:val="20"/>
        </w:rPr>
        <w:t>L’imposta deve essere liquidata all’interno del quadro RW relativo al monitoraggio fiscale insieme all’IVAFE.</w:t>
      </w:r>
    </w:p>
    <w:p w14:paraId="28E399D2" w14:textId="77777777" w:rsidR="000D3611" w:rsidRPr="00305AEB" w:rsidRDefault="008D15F0" w:rsidP="00186726">
      <w:pPr>
        <w:tabs>
          <w:tab w:val="left" w:pos="709"/>
          <w:tab w:val="right" w:pos="8080"/>
        </w:tabs>
        <w:rPr>
          <w:rFonts w:cs="Tahoma"/>
          <w:szCs w:val="20"/>
        </w:rPr>
      </w:pPr>
      <w:r w:rsidRPr="00305AEB">
        <w:rPr>
          <w:rFonts w:cs="Tahoma"/>
          <w:szCs w:val="20"/>
        </w:rPr>
        <w:t>In origine, l'imposta era dovuta dalle sole persone fisiche residenti.</w:t>
      </w:r>
    </w:p>
    <w:p w14:paraId="3E90CB55" w14:textId="77777777" w:rsidR="008D15F0" w:rsidRPr="00305AEB" w:rsidRDefault="008D15F0" w:rsidP="00186726">
      <w:pPr>
        <w:tabs>
          <w:tab w:val="left" w:pos="709"/>
          <w:tab w:val="right" w:pos="8080"/>
        </w:tabs>
        <w:rPr>
          <w:rFonts w:cs="Tahoma"/>
          <w:szCs w:val="20"/>
        </w:rPr>
      </w:pPr>
      <w:r w:rsidRPr="00305AEB">
        <w:rPr>
          <w:rFonts w:cs="Tahoma"/>
          <w:szCs w:val="20"/>
        </w:rPr>
        <w:t>A partire dall'1.1.2020, invece, essa sarà dovuta anche:</w:t>
      </w:r>
    </w:p>
    <w:p w14:paraId="53D53EA4" w14:textId="77777777" w:rsidR="008D15F0" w:rsidRPr="00305AEB" w:rsidRDefault="008D15F0" w:rsidP="00186726">
      <w:pPr>
        <w:pStyle w:val="Paragrafoelenco"/>
        <w:numPr>
          <w:ilvl w:val="0"/>
          <w:numId w:val="51"/>
        </w:numPr>
        <w:tabs>
          <w:tab w:val="left" w:pos="709"/>
          <w:tab w:val="right" w:pos="8080"/>
        </w:tabs>
        <w:rPr>
          <w:rFonts w:cs="Tahoma"/>
          <w:szCs w:val="20"/>
        </w:rPr>
      </w:pPr>
      <w:r w:rsidRPr="00305AEB">
        <w:rPr>
          <w:rFonts w:cs="Tahoma"/>
          <w:szCs w:val="20"/>
        </w:rPr>
        <w:t>dagli enti non commerciali, tra cui anche i trust e le fondazioni;</w:t>
      </w:r>
    </w:p>
    <w:p w14:paraId="36D0ED59" w14:textId="77777777" w:rsidR="008D15F0" w:rsidRPr="00305AEB" w:rsidRDefault="008D15F0" w:rsidP="00186726">
      <w:pPr>
        <w:pStyle w:val="Paragrafoelenco"/>
        <w:numPr>
          <w:ilvl w:val="0"/>
          <w:numId w:val="51"/>
        </w:numPr>
        <w:tabs>
          <w:tab w:val="left" w:pos="709"/>
          <w:tab w:val="right" w:pos="8080"/>
        </w:tabs>
        <w:rPr>
          <w:rFonts w:cs="Tahoma"/>
          <w:szCs w:val="20"/>
        </w:rPr>
      </w:pPr>
      <w:r w:rsidRPr="00305AEB">
        <w:rPr>
          <w:rFonts w:cs="Tahoma"/>
          <w:szCs w:val="20"/>
        </w:rPr>
        <w:t>dalle società semplici e gli enti alle stesse equiparati (ex art. 5 del TUIR).</w:t>
      </w:r>
    </w:p>
    <w:p w14:paraId="380439B9" w14:textId="77777777" w:rsidR="00151452" w:rsidRPr="00305AEB" w:rsidRDefault="00151452" w:rsidP="00186726">
      <w:pPr>
        <w:rPr>
          <w:rFonts w:cs="Tahoma"/>
          <w:b/>
          <w:i/>
        </w:rPr>
      </w:pPr>
    </w:p>
    <w:p w14:paraId="08AE62EC" w14:textId="77777777" w:rsidR="00E22CE6" w:rsidRDefault="00E22CE6">
      <w:pPr>
        <w:spacing w:after="0" w:line="240" w:lineRule="auto"/>
        <w:jc w:val="left"/>
        <w:rPr>
          <w:rFonts w:cs="Tahoma"/>
          <w:b/>
          <w:i/>
        </w:rPr>
      </w:pPr>
      <w:r>
        <w:rPr>
          <w:rFonts w:cs="Tahoma"/>
        </w:rPr>
        <w:br w:type="page"/>
      </w:r>
    </w:p>
    <w:p w14:paraId="732729BD" w14:textId="56F4CECD" w:rsidR="008D15F0" w:rsidRPr="00305AEB" w:rsidRDefault="008D15F0" w:rsidP="00186726">
      <w:pPr>
        <w:pStyle w:val="NUOVOSOTTOPARAGRAFO"/>
        <w:rPr>
          <w:rFonts w:cs="Tahoma"/>
        </w:rPr>
      </w:pPr>
      <w:bookmarkStart w:id="171" w:name="_Toc161933233"/>
      <w:r w:rsidRPr="00305AEB">
        <w:rPr>
          <w:rFonts w:cs="Tahoma"/>
        </w:rPr>
        <w:lastRenderedPageBreak/>
        <w:t>9.2.1 Ambito oggettivo</w:t>
      </w:r>
      <w:bookmarkEnd w:id="171"/>
    </w:p>
    <w:p w14:paraId="40793444" w14:textId="77777777" w:rsidR="008D15F0" w:rsidRPr="00305AEB" w:rsidRDefault="008D15F0" w:rsidP="00186726">
      <w:pPr>
        <w:tabs>
          <w:tab w:val="left" w:pos="709"/>
          <w:tab w:val="right" w:pos="8080"/>
        </w:tabs>
        <w:rPr>
          <w:rFonts w:cs="Tahoma"/>
          <w:szCs w:val="20"/>
        </w:rPr>
      </w:pPr>
      <w:r w:rsidRPr="00305AEB">
        <w:rPr>
          <w:rFonts w:cs="Tahoma"/>
          <w:szCs w:val="20"/>
        </w:rPr>
        <w:t>L'IVAFE si applica sui prodotti finanziari, i conti correnti ed i libretti di risparmio detenuti all'estero. In particolare, i prodotti finanziari sono, oltre agli strumenti finanziari (ossia, l'insieme dei valori mobiliari, gli strumenti del mercato monetario, le quote di OICR e le varie tipologie di contratti a termine e derivati connessi ad attività finanziarie, merci, indici finanziari e non finanziari, ecc.) anche "ogni altra forma di investimento di natura finanziaria (art. 19, comma 18 e ss. del D.L. n. 201/2011).</w:t>
      </w:r>
    </w:p>
    <w:p w14:paraId="04D6F13E" w14:textId="77777777" w:rsidR="008D15F0" w:rsidRPr="00305AEB" w:rsidRDefault="008D15F0" w:rsidP="00186726">
      <w:pPr>
        <w:tabs>
          <w:tab w:val="left" w:pos="709"/>
          <w:tab w:val="right" w:pos="8080"/>
        </w:tabs>
        <w:rPr>
          <w:rFonts w:cs="Tahoma"/>
          <w:szCs w:val="20"/>
        </w:rPr>
      </w:pPr>
      <w:r w:rsidRPr="00305AEB">
        <w:rPr>
          <w:rFonts w:cs="Tahoma"/>
          <w:szCs w:val="20"/>
        </w:rPr>
        <w:t>Risultano quindi esclusi dall'ambito di applicazione dell'imposta:</w:t>
      </w:r>
    </w:p>
    <w:p w14:paraId="44F19783" w14:textId="77777777" w:rsidR="008D15F0" w:rsidRPr="00305AEB" w:rsidRDefault="008D15F0" w:rsidP="00186726">
      <w:pPr>
        <w:pStyle w:val="Paragrafoelenco"/>
        <w:numPr>
          <w:ilvl w:val="0"/>
          <w:numId w:val="57"/>
        </w:numPr>
        <w:tabs>
          <w:tab w:val="left" w:pos="709"/>
          <w:tab w:val="right" w:pos="8080"/>
        </w:tabs>
        <w:rPr>
          <w:rFonts w:cs="Tahoma"/>
          <w:szCs w:val="20"/>
        </w:rPr>
      </w:pPr>
      <w:r w:rsidRPr="00305AEB">
        <w:rPr>
          <w:rFonts w:cs="Tahoma"/>
          <w:szCs w:val="20"/>
        </w:rPr>
        <w:t>le quote di partecipazione in società estere non rappresentate da titoli; </w:t>
      </w:r>
    </w:p>
    <w:p w14:paraId="034E5B14" w14:textId="77777777" w:rsidR="008D15F0" w:rsidRPr="00305AEB" w:rsidRDefault="008D15F0" w:rsidP="00186726">
      <w:pPr>
        <w:pStyle w:val="Paragrafoelenco"/>
        <w:numPr>
          <w:ilvl w:val="0"/>
          <w:numId w:val="57"/>
        </w:numPr>
        <w:tabs>
          <w:tab w:val="left" w:pos="709"/>
          <w:tab w:val="right" w:pos="8080"/>
        </w:tabs>
        <w:rPr>
          <w:rFonts w:cs="Tahoma"/>
          <w:szCs w:val="20"/>
        </w:rPr>
      </w:pPr>
      <w:r w:rsidRPr="00305AEB">
        <w:rPr>
          <w:rFonts w:cs="Tahoma"/>
          <w:szCs w:val="20"/>
        </w:rPr>
        <w:t>i finanziamenti dei soci;</w:t>
      </w:r>
    </w:p>
    <w:p w14:paraId="7008C39D" w14:textId="77777777" w:rsidR="008D15F0" w:rsidRPr="00305AEB" w:rsidRDefault="008D15F0" w:rsidP="00186726">
      <w:pPr>
        <w:pStyle w:val="Paragrafoelenco"/>
        <w:numPr>
          <w:ilvl w:val="0"/>
          <w:numId w:val="57"/>
        </w:numPr>
        <w:tabs>
          <w:tab w:val="left" w:pos="709"/>
          <w:tab w:val="right" w:pos="8080"/>
        </w:tabs>
        <w:rPr>
          <w:rFonts w:cs="Tahoma"/>
          <w:szCs w:val="20"/>
        </w:rPr>
      </w:pPr>
      <w:r w:rsidRPr="00305AEB">
        <w:rPr>
          <w:rFonts w:cs="Tahoma"/>
          <w:szCs w:val="20"/>
        </w:rPr>
        <w:t>le banconote o le monete "estere";</w:t>
      </w:r>
    </w:p>
    <w:p w14:paraId="1B454478" w14:textId="77777777" w:rsidR="008D15F0" w:rsidRPr="00305AEB" w:rsidRDefault="008D15F0" w:rsidP="00186726">
      <w:pPr>
        <w:pStyle w:val="Paragrafoelenco"/>
        <w:numPr>
          <w:ilvl w:val="0"/>
          <w:numId w:val="57"/>
        </w:numPr>
        <w:tabs>
          <w:tab w:val="left" w:pos="709"/>
          <w:tab w:val="right" w:pos="8080"/>
        </w:tabs>
        <w:rPr>
          <w:rFonts w:cs="Tahoma"/>
          <w:szCs w:val="20"/>
        </w:rPr>
      </w:pPr>
      <w:r w:rsidRPr="00305AEB">
        <w:rPr>
          <w:rFonts w:cs="Tahoma"/>
          <w:szCs w:val="20"/>
        </w:rPr>
        <w:t>i metalli preziosi.</w:t>
      </w:r>
    </w:p>
    <w:p w14:paraId="4B605F53" w14:textId="77777777" w:rsidR="008D15F0" w:rsidRPr="00305AEB" w:rsidRDefault="008D15F0" w:rsidP="00186726">
      <w:pPr>
        <w:tabs>
          <w:tab w:val="left" w:pos="709"/>
          <w:tab w:val="right" w:pos="8080"/>
        </w:tabs>
        <w:rPr>
          <w:rFonts w:cs="Tahoma"/>
          <w:szCs w:val="20"/>
        </w:rPr>
      </w:pPr>
      <w:r w:rsidRPr="00305AEB">
        <w:rPr>
          <w:rFonts w:cs="Tahoma"/>
          <w:szCs w:val="20"/>
        </w:rPr>
        <w:t>In sostanza, i titoli equiparabili alle azioni in società estere scontano l'imposta, la quale è invece esclusa in caso di mero possesso di una quota partecipativa in un soggetto estero.</w:t>
      </w:r>
    </w:p>
    <w:p w14:paraId="4B35C1AD" w14:textId="29C7990F" w:rsidR="008D15F0" w:rsidRPr="00305AEB" w:rsidRDefault="008D15F0" w:rsidP="00186726">
      <w:pPr>
        <w:tabs>
          <w:tab w:val="left" w:pos="709"/>
          <w:tab w:val="right" w:pos="8080"/>
        </w:tabs>
        <w:rPr>
          <w:rFonts w:cs="Tahoma"/>
          <w:szCs w:val="20"/>
        </w:rPr>
      </w:pPr>
      <w:r w:rsidRPr="00305AEB">
        <w:rPr>
          <w:rFonts w:cs="Tahoma"/>
          <w:szCs w:val="20"/>
        </w:rPr>
        <w:t>Inoltre,</w:t>
      </w:r>
      <w:r w:rsidR="00E74279">
        <w:rPr>
          <w:rFonts w:cs="Tahoma"/>
          <w:szCs w:val="20"/>
        </w:rPr>
        <w:t xml:space="preserve"> </w:t>
      </w:r>
      <w:r w:rsidRPr="00305AEB">
        <w:rPr>
          <w:rFonts w:cs="Tahoma"/>
          <w:szCs w:val="20"/>
        </w:rPr>
        <w:t xml:space="preserve">l'IVAFE si applica su tutti i prodotti finanziari esteri o detenuti all'estero a prescindere dalla circostanza che siano immessi in relazioni con intermediari obbligati a rendicontazione. </w:t>
      </w:r>
    </w:p>
    <w:p w14:paraId="6853F179" w14:textId="5F337175" w:rsidR="008D15F0" w:rsidRPr="00305AEB" w:rsidRDefault="008D15F0" w:rsidP="00186726">
      <w:pPr>
        <w:tabs>
          <w:tab w:val="left" w:pos="709"/>
          <w:tab w:val="right" w:pos="8080"/>
        </w:tabs>
        <w:rPr>
          <w:rFonts w:cs="Tahoma"/>
          <w:szCs w:val="20"/>
        </w:rPr>
      </w:pPr>
      <w:r w:rsidRPr="00305AEB">
        <w:rPr>
          <w:rFonts w:cs="Tahoma"/>
          <w:szCs w:val="20"/>
        </w:rPr>
        <w:t>Secondo le istruzioni al modello REDDITI, le valute virtuali (che ricomprendono bitcoin e criptovalute) devono essere segnalate all'interno del quadro RW.</w:t>
      </w:r>
    </w:p>
    <w:p w14:paraId="776390CF" w14:textId="77777777" w:rsidR="000D3611" w:rsidRPr="00305AEB" w:rsidRDefault="000D3611" w:rsidP="00186726">
      <w:pPr>
        <w:pStyle w:val="NUOVOSOTTOPARAGRAFO"/>
        <w:rPr>
          <w:rFonts w:cs="Tahoma"/>
        </w:rPr>
      </w:pPr>
    </w:p>
    <w:p w14:paraId="41B75DF2" w14:textId="77777777" w:rsidR="008D15F0" w:rsidRPr="00305AEB" w:rsidRDefault="008D15F0" w:rsidP="00186726">
      <w:pPr>
        <w:pStyle w:val="NUOVOSOTTOPARAGRAFO"/>
        <w:rPr>
          <w:rFonts w:cs="Tahoma"/>
        </w:rPr>
      </w:pPr>
      <w:bookmarkStart w:id="172" w:name="_Toc161933234"/>
      <w:r w:rsidRPr="00305AEB">
        <w:rPr>
          <w:rFonts w:cs="Tahoma"/>
        </w:rPr>
        <w:t>9.2.2 Aliquota e base imponibile</w:t>
      </w:r>
      <w:bookmarkEnd w:id="172"/>
    </w:p>
    <w:p w14:paraId="329BD36C" w14:textId="77777777" w:rsidR="008D15F0" w:rsidRPr="00305AEB" w:rsidRDefault="008D15F0" w:rsidP="00186726">
      <w:pPr>
        <w:tabs>
          <w:tab w:val="left" w:pos="709"/>
          <w:tab w:val="right" w:pos="8080"/>
        </w:tabs>
        <w:rPr>
          <w:rFonts w:cs="Tahoma"/>
          <w:szCs w:val="20"/>
        </w:rPr>
      </w:pPr>
      <w:r w:rsidRPr="00305AEB">
        <w:rPr>
          <w:rFonts w:cs="Tahoma"/>
          <w:szCs w:val="20"/>
        </w:rPr>
        <w:t>A decorrere dal 2014, l'aliquota di imposta da applicare sul valore dei prodotti finanziari è pari allo 0,2%.</w:t>
      </w:r>
    </w:p>
    <w:p w14:paraId="1F0AAD27" w14:textId="77777777" w:rsidR="008D15F0" w:rsidRPr="00305AEB" w:rsidRDefault="008D15F0" w:rsidP="00186726">
      <w:pPr>
        <w:tabs>
          <w:tab w:val="left" w:pos="709"/>
          <w:tab w:val="right" w:pos="8080"/>
        </w:tabs>
        <w:rPr>
          <w:rFonts w:cs="Tahoma"/>
          <w:szCs w:val="20"/>
        </w:rPr>
      </w:pPr>
      <w:r w:rsidRPr="00305AEB">
        <w:rPr>
          <w:rFonts w:cs="Tahoma"/>
          <w:szCs w:val="20"/>
        </w:rPr>
        <w:t>L'imposta è dovuta in proporzione ai giorni di detenzione e alla quota di possesso in caso di prodotti finanziarie cointestati.</w:t>
      </w:r>
    </w:p>
    <w:p w14:paraId="77A17F9D" w14:textId="77777777" w:rsidR="008D15F0" w:rsidRPr="00305AEB" w:rsidRDefault="008D15F0" w:rsidP="00186726">
      <w:pPr>
        <w:tabs>
          <w:tab w:val="left" w:pos="709"/>
          <w:tab w:val="right" w:pos="8080"/>
        </w:tabs>
        <w:rPr>
          <w:rFonts w:cs="Tahoma"/>
          <w:szCs w:val="20"/>
        </w:rPr>
      </w:pPr>
      <w:r w:rsidRPr="00305AEB">
        <w:rPr>
          <w:rFonts w:cs="Tahoma"/>
          <w:szCs w:val="20"/>
        </w:rPr>
        <w:t>Il valore dei prodotti finanziari è costituito dal valore di mercato, rilevato al termine di ciascun anno solare nel luogo in cui essi sono detenuti, anche utilizzando la documentazione dell'intermediario estero di riferimento ovvero dell'impresa di assicurazione estera.</w:t>
      </w:r>
    </w:p>
    <w:p w14:paraId="09A9B10F" w14:textId="77777777" w:rsidR="008D15F0" w:rsidRPr="00305AEB" w:rsidRDefault="008D15F0" w:rsidP="00186726">
      <w:pPr>
        <w:tabs>
          <w:tab w:val="left" w:pos="709"/>
          <w:tab w:val="right" w:pos="8080"/>
        </w:tabs>
        <w:rPr>
          <w:rFonts w:cs="Tahoma"/>
          <w:szCs w:val="20"/>
        </w:rPr>
      </w:pPr>
      <w:r w:rsidRPr="00305AEB">
        <w:rPr>
          <w:rFonts w:cs="Tahoma"/>
          <w:szCs w:val="20"/>
        </w:rPr>
        <w:t>Qualora le attività non siano più possedute alla data del 31 dicembre si deve fare riferimento al valore di mercato dei prodotti finanziari rilevato al termine del periodo di detenzione (C.M. n. 28/E del 2012).</w:t>
      </w:r>
    </w:p>
    <w:p w14:paraId="4DFA4C36" w14:textId="77777777" w:rsidR="008D15F0" w:rsidRPr="00305AEB" w:rsidRDefault="008D15F0" w:rsidP="00186726">
      <w:pPr>
        <w:tabs>
          <w:tab w:val="left" w:pos="709"/>
          <w:tab w:val="right" w:pos="8080"/>
        </w:tabs>
        <w:rPr>
          <w:rFonts w:cs="Tahoma"/>
          <w:szCs w:val="20"/>
        </w:rPr>
      </w:pPr>
      <w:r w:rsidRPr="00305AEB">
        <w:rPr>
          <w:rFonts w:cs="Tahoma"/>
          <w:szCs w:val="20"/>
        </w:rPr>
        <w:lastRenderedPageBreak/>
        <w:t>Per le azioni, le obbligazioni e gli altri titoli o strumenti negoziati in mercati regolamentati si deve fare riferimento al valore puntuale di quotazione alla data del 31 dicembre di ciascun anno o al termine del periodo di detenzione.</w:t>
      </w:r>
    </w:p>
    <w:p w14:paraId="164AA390" w14:textId="77777777" w:rsidR="008D15F0" w:rsidRPr="00305AEB" w:rsidRDefault="008D15F0" w:rsidP="00186726">
      <w:pPr>
        <w:tabs>
          <w:tab w:val="left" w:pos="709"/>
          <w:tab w:val="right" w:pos="8080"/>
        </w:tabs>
        <w:rPr>
          <w:rFonts w:cs="Tahoma"/>
          <w:szCs w:val="20"/>
        </w:rPr>
      </w:pPr>
      <w:r w:rsidRPr="00305AEB">
        <w:rPr>
          <w:rFonts w:cs="Tahoma"/>
          <w:szCs w:val="20"/>
        </w:rPr>
        <w:t xml:space="preserve">Qualora alla </w:t>
      </w:r>
      <w:proofErr w:type="gramStart"/>
      <w:r w:rsidRPr="00305AEB">
        <w:rPr>
          <w:rFonts w:cs="Tahoma"/>
          <w:szCs w:val="20"/>
        </w:rPr>
        <w:t>predetta</w:t>
      </w:r>
      <w:proofErr w:type="gramEnd"/>
      <w:r w:rsidRPr="00305AEB">
        <w:rPr>
          <w:rFonts w:cs="Tahoma"/>
          <w:szCs w:val="20"/>
        </w:rPr>
        <w:t xml:space="preserve"> data non ci sia stata negoziazione si deve assumere il valore di quotazione rilevato nel giorno antecedente più prossimo.</w:t>
      </w:r>
    </w:p>
    <w:p w14:paraId="48718D06" w14:textId="77777777" w:rsidR="008D15F0" w:rsidRPr="00305AEB" w:rsidRDefault="008D15F0" w:rsidP="00186726">
      <w:pPr>
        <w:tabs>
          <w:tab w:val="left" w:pos="709"/>
          <w:tab w:val="right" w:pos="8080"/>
        </w:tabs>
        <w:rPr>
          <w:rFonts w:cs="Tahoma"/>
          <w:szCs w:val="20"/>
        </w:rPr>
      </w:pPr>
      <w:r w:rsidRPr="00305AEB">
        <w:rPr>
          <w:rFonts w:cs="Tahoma"/>
          <w:szCs w:val="20"/>
        </w:rPr>
        <w:t>Per le azioni, obbligazioni e gli altri titoli o strumenti finanziari non negoziati in mercati regolamentati e, comunque, nei casi in cui i prodotti finanziari quotati siano stati esclusi dalla negoziazione si deve fare riferimento al valore nominale o, in mancanza, al valore di rimborso, anche se rideterminato ufficialmente.</w:t>
      </w:r>
    </w:p>
    <w:p w14:paraId="473C047C" w14:textId="77777777" w:rsidR="008D15F0" w:rsidRPr="00305AEB" w:rsidRDefault="008D15F0" w:rsidP="00186726">
      <w:pPr>
        <w:tabs>
          <w:tab w:val="left" w:pos="709"/>
          <w:tab w:val="right" w:pos="8080"/>
        </w:tabs>
        <w:rPr>
          <w:rFonts w:cs="Tahoma"/>
          <w:szCs w:val="20"/>
        </w:rPr>
      </w:pPr>
      <w:r w:rsidRPr="00305AEB">
        <w:rPr>
          <w:rFonts w:cs="Tahoma"/>
          <w:szCs w:val="20"/>
        </w:rPr>
        <w:t>Qualora il titolo abbia sia il valore nominale che quello di rimborso, la base imponibile è costituita dal valore nominale. Infine, nell'ipotesi in cui manchi sia il valore nominale sia il valore di rimborso la base imponibile è costituita dal valore di acquisto dei titoli.</w:t>
      </w:r>
    </w:p>
    <w:p w14:paraId="6484D2B3" w14:textId="77777777" w:rsidR="008D15F0" w:rsidRPr="00305AEB" w:rsidRDefault="008D15F0" w:rsidP="00186726">
      <w:pPr>
        <w:tabs>
          <w:tab w:val="left" w:pos="709"/>
          <w:tab w:val="right" w:pos="8080"/>
        </w:tabs>
        <w:rPr>
          <w:rFonts w:cs="Tahoma"/>
          <w:szCs w:val="20"/>
        </w:rPr>
      </w:pPr>
      <w:r w:rsidRPr="00305AEB">
        <w:rPr>
          <w:rFonts w:cs="Tahoma"/>
          <w:szCs w:val="20"/>
        </w:rPr>
        <w:t>I criteri sopracitati si applicano anche per prodotti finanziari acquisiti per successione o donazione.</w:t>
      </w:r>
    </w:p>
    <w:p w14:paraId="56940C12" w14:textId="77777777" w:rsidR="000D3611" w:rsidRPr="00305AEB" w:rsidRDefault="000D3611" w:rsidP="00186726">
      <w:pPr>
        <w:pStyle w:val="NUOVOSOTTOPARAGRAFO"/>
        <w:rPr>
          <w:rFonts w:cs="Tahoma"/>
        </w:rPr>
      </w:pPr>
    </w:p>
    <w:p w14:paraId="089FEFBA" w14:textId="0B0273AF" w:rsidR="008D15F0" w:rsidRPr="00305AEB" w:rsidRDefault="008D15F0" w:rsidP="00186726">
      <w:pPr>
        <w:pStyle w:val="NUOVOSOTTOPARAGRAFO"/>
        <w:rPr>
          <w:rFonts w:cs="Tahoma"/>
        </w:rPr>
      </w:pPr>
      <w:bookmarkStart w:id="173" w:name="_Toc161933235"/>
      <w:r w:rsidRPr="00305AEB">
        <w:rPr>
          <w:rFonts w:cs="Tahoma"/>
        </w:rPr>
        <w:t>9.2.3 Conti correnti e depositi di risparmio</w:t>
      </w:r>
      <w:bookmarkEnd w:id="173"/>
    </w:p>
    <w:p w14:paraId="7ABC563C" w14:textId="77777777" w:rsidR="008D15F0" w:rsidRPr="00305AEB" w:rsidRDefault="008D15F0" w:rsidP="00186726">
      <w:pPr>
        <w:tabs>
          <w:tab w:val="left" w:pos="709"/>
          <w:tab w:val="right" w:pos="8080"/>
        </w:tabs>
        <w:rPr>
          <w:rFonts w:cs="Tahoma"/>
          <w:szCs w:val="20"/>
        </w:rPr>
      </w:pPr>
      <w:r w:rsidRPr="00305AEB">
        <w:rPr>
          <w:rFonts w:cs="Tahoma"/>
          <w:szCs w:val="20"/>
        </w:rPr>
        <w:t xml:space="preserve">Per i conti correnti ed i depositi di risparmio, l'imposta è stata prevista in misura fissa per un ammontare pari a 34,20 </w:t>
      </w:r>
      <w:proofErr w:type="gramStart"/>
      <w:r w:rsidRPr="00305AEB">
        <w:rPr>
          <w:rFonts w:cs="Tahoma"/>
          <w:szCs w:val="20"/>
        </w:rPr>
        <w:t>Euro</w:t>
      </w:r>
      <w:proofErr w:type="gramEnd"/>
      <w:r w:rsidRPr="00305AEB">
        <w:rPr>
          <w:rFonts w:cs="Tahoma"/>
          <w:szCs w:val="20"/>
        </w:rPr>
        <w:t xml:space="preserve"> per tutti i conti correnti e i libretti di risparmio detenuti all'estero.</w:t>
      </w:r>
    </w:p>
    <w:p w14:paraId="26452752" w14:textId="77777777" w:rsidR="008D15F0" w:rsidRPr="00305AEB" w:rsidRDefault="008D15F0" w:rsidP="00186726">
      <w:pPr>
        <w:tabs>
          <w:tab w:val="left" w:pos="709"/>
          <w:tab w:val="right" w:pos="8080"/>
        </w:tabs>
        <w:rPr>
          <w:rFonts w:cs="Tahoma"/>
          <w:szCs w:val="20"/>
        </w:rPr>
      </w:pPr>
      <w:r w:rsidRPr="00305AEB">
        <w:rPr>
          <w:rFonts w:cs="Tahoma"/>
          <w:szCs w:val="20"/>
        </w:rPr>
        <w:t>Tale misura va applicata con riferimento a ciascun conto corrente o libretto di risparmio detenuti all'estero dal contribuente.</w:t>
      </w:r>
    </w:p>
    <w:p w14:paraId="46024171" w14:textId="77777777" w:rsidR="008D15F0" w:rsidRPr="00305AEB" w:rsidRDefault="008D15F0" w:rsidP="00186726">
      <w:pPr>
        <w:tabs>
          <w:tab w:val="left" w:pos="709"/>
          <w:tab w:val="right" w:pos="8080"/>
        </w:tabs>
        <w:rPr>
          <w:rFonts w:cs="Tahoma"/>
          <w:szCs w:val="20"/>
        </w:rPr>
      </w:pPr>
      <w:r w:rsidRPr="00305AEB">
        <w:rPr>
          <w:rFonts w:cs="Tahoma"/>
          <w:szCs w:val="20"/>
        </w:rPr>
        <w:t>In caso di estinzione o di apertura di tali rapporti in corso d'anno, l'imposta è rapportata al periodo di detenzione espresso in giorni e per i conti cointestati, l'imposta fissa è ripartita in base alla percentuale di possesso.</w:t>
      </w:r>
    </w:p>
    <w:p w14:paraId="5F955EEB" w14:textId="77777777" w:rsidR="008D15F0" w:rsidRPr="00305AEB" w:rsidRDefault="008D15F0" w:rsidP="00186726">
      <w:pPr>
        <w:tabs>
          <w:tab w:val="left" w:pos="709"/>
          <w:tab w:val="right" w:pos="8080"/>
        </w:tabs>
        <w:rPr>
          <w:rFonts w:cs="Tahoma"/>
          <w:szCs w:val="20"/>
        </w:rPr>
      </w:pPr>
      <w:r w:rsidRPr="00305AEB">
        <w:rPr>
          <w:rFonts w:cs="Tahoma"/>
          <w:szCs w:val="20"/>
        </w:rPr>
        <w:t xml:space="preserve">L'imposta in misura fissa non è dovuta qualora il valore medio di giacenza annuo risultante dagli estratti conto e dai libretti non sia superiore a 5.000 </w:t>
      </w:r>
      <w:proofErr w:type="gramStart"/>
      <w:r w:rsidRPr="00305AEB">
        <w:rPr>
          <w:rFonts w:cs="Tahoma"/>
          <w:szCs w:val="20"/>
        </w:rPr>
        <w:t>Euro</w:t>
      </w:r>
      <w:proofErr w:type="gramEnd"/>
      <w:r w:rsidRPr="00305AEB">
        <w:rPr>
          <w:rFonts w:cs="Tahoma"/>
          <w:szCs w:val="20"/>
        </w:rPr>
        <w:t>. </w:t>
      </w:r>
    </w:p>
    <w:p w14:paraId="00675988" w14:textId="77777777" w:rsidR="008D15F0" w:rsidRPr="00305AEB" w:rsidRDefault="008D15F0" w:rsidP="00186726">
      <w:pPr>
        <w:tabs>
          <w:tab w:val="left" w:pos="709"/>
          <w:tab w:val="right" w:pos="8080"/>
        </w:tabs>
        <w:rPr>
          <w:rFonts w:cs="Tahoma"/>
          <w:szCs w:val="20"/>
        </w:rPr>
      </w:pPr>
      <w:r w:rsidRPr="00305AEB">
        <w:rPr>
          <w:rFonts w:cs="Tahoma"/>
          <w:szCs w:val="20"/>
        </w:rPr>
        <w:t>Si tenga presente che al contrario dei conti correnti, i conti deposito e i certificati di deposito sono soggetti all’IVAFE in misura proporzionale e:</w:t>
      </w:r>
    </w:p>
    <w:p w14:paraId="17E26910" w14:textId="2022506F" w:rsidR="008D15F0" w:rsidRPr="00305AEB" w:rsidRDefault="008D15F0" w:rsidP="00186726">
      <w:pPr>
        <w:pStyle w:val="Paragrafoelenco"/>
        <w:numPr>
          <w:ilvl w:val="0"/>
          <w:numId w:val="58"/>
        </w:numPr>
        <w:tabs>
          <w:tab w:val="left" w:pos="709"/>
          <w:tab w:val="right" w:pos="8080"/>
        </w:tabs>
        <w:rPr>
          <w:rFonts w:cs="Tahoma"/>
          <w:szCs w:val="20"/>
        </w:rPr>
      </w:pPr>
      <w:r w:rsidRPr="00305AEB">
        <w:rPr>
          <w:rFonts w:cs="Tahoma"/>
          <w:szCs w:val="20"/>
        </w:rPr>
        <w:t xml:space="preserve">devono essere indicati nel quadro RW utilizzando il codice </w:t>
      </w:r>
      <w:r w:rsidR="00186726">
        <w:rPr>
          <w:rFonts w:cs="Tahoma"/>
          <w:szCs w:val="20"/>
        </w:rPr>
        <w:t>“</w:t>
      </w:r>
      <w:r w:rsidRPr="00305AEB">
        <w:rPr>
          <w:rFonts w:cs="Tahoma"/>
          <w:szCs w:val="20"/>
        </w:rPr>
        <w:t>14”;</w:t>
      </w:r>
    </w:p>
    <w:p w14:paraId="63E53632" w14:textId="77777777" w:rsidR="008D15F0" w:rsidRPr="00305AEB" w:rsidRDefault="008D15F0" w:rsidP="00186726">
      <w:pPr>
        <w:pStyle w:val="Paragrafoelenco"/>
        <w:numPr>
          <w:ilvl w:val="0"/>
          <w:numId w:val="58"/>
        </w:numPr>
        <w:tabs>
          <w:tab w:val="left" w:pos="709"/>
          <w:tab w:val="right" w:pos="8080"/>
        </w:tabs>
        <w:rPr>
          <w:rFonts w:cs="Tahoma"/>
          <w:szCs w:val="20"/>
        </w:rPr>
      </w:pPr>
      <w:r w:rsidRPr="00305AEB">
        <w:rPr>
          <w:rFonts w:cs="Tahoma"/>
          <w:szCs w:val="20"/>
        </w:rPr>
        <w:t>sono valorizzati al valore di mercato al cambio medio del mese di dicembre o del mese di chiusura del rapporto.</w:t>
      </w:r>
    </w:p>
    <w:p w14:paraId="6B5D0AE3" w14:textId="46D5F087" w:rsidR="000D3611" w:rsidRPr="00305AEB" w:rsidRDefault="000D3611" w:rsidP="00186726">
      <w:pPr>
        <w:rPr>
          <w:rFonts w:cs="Tahoma"/>
          <w:b/>
          <w:i/>
        </w:rPr>
      </w:pPr>
    </w:p>
    <w:p w14:paraId="6B779A01" w14:textId="77777777" w:rsidR="008D15F0" w:rsidRPr="00305AEB" w:rsidRDefault="008D15F0" w:rsidP="00186726">
      <w:pPr>
        <w:pStyle w:val="NUOVOSOTTOPARAGRAFO"/>
        <w:rPr>
          <w:rFonts w:cs="Tahoma"/>
        </w:rPr>
      </w:pPr>
      <w:bookmarkStart w:id="174" w:name="_Toc161933236"/>
      <w:r w:rsidRPr="00305AEB">
        <w:rPr>
          <w:rFonts w:cs="Tahoma"/>
        </w:rPr>
        <w:lastRenderedPageBreak/>
        <w:t>9.2.4 Credito di imposta</w:t>
      </w:r>
      <w:bookmarkEnd w:id="174"/>
    </w:p>
    <w:p w14:paraId="665BF5CC" w14:textId="77777777" w:rsidR="008D15F0" w:rsidRPr="00305AEB" w:rsidRDefault="008D15F0" w:rsidP="00186726">
      <w:pPr>
        <w:tabs>
          <w:tab w:val="left" w:pos="709"/>
          <w:tab w:val="right" w:pos="8080"/>
        </w:tabs>
        <w:rPr>
          <w:rFonts w:cs="Tahoma"/>
          <w:szCs w:val="20"/>
        </w:rPr>
      </w:pPr>
      <w:r w:rsidRPr="00305AEB">
        <w:rPr>
          <w:rFonts w:cs="Tahoma"/>
          <w:szCs w:val="20"/>
        </w:rPr>
        <w:t>Dall'imposta patrimoniale sui prodotti finanziari esteri si deduce, fino a concorrenza del suo ammontare, un credito di imposta pari all'ammontare dell'eventuale imposta patrimoniale versata nello Stato in cui sono detenuti.</w:t>
      </w:r>
    </w:p>
    <w:p w14:paraId="70F1806D" w14:textId="77777777" w:rsidR="008D15F0" w:rsidRPr="00305AEB" w:rsidRDefault="008D15F0" w:rsidP="00186726">
      <w:pPr>
        <w:tabs>
          <w:tab w:val="left" w:pos="709"/>
          <w:tab w:val="right" w:pos="8080"/>
        </w:tabs>
        <w:rPr>
          <w:rFonts w:cs="Tahoma"/>
          <w:szCs w:val="20"/>
        </w:rPr>
      </w:pPr>
      <w:r w:rsidRPr="00305AEB">
        <w:rPr>
          <w:rFonts w:cs="Tahoma"/>
          <w:szCs w:val="20"/>
        </w:rPr>
        <w:t>Il credito di imposta non può in ogni caso superare l'imposta dovuta in Italia. </w:t>
      </w:r>
    </w:p>
    <w:p w14:paraId="7BD8D652" w14:textId="77777777" w:rsidR="000D3611" w:rsidRPr="00305AEB" w:rsidRDefault="000D3611" w:rsidP="00186726">
      <w:pPr>
        <w:pStyle w:val="NUOVOSOTTOPARAGRAFO"/>
        <w:rPr>
          <w:rFonts w:cs="Tahoma"/>
        </w:rPr>
      </w:pPr>
    </w:p>
    <w:p w14:paraId="48A30A64" w14:textId="52DCDBC6" w:rsidR="008D15F0" w:rsidRPr="00305AEB" w:rsidRDefault="008D15F0" w:rsidP="00186726">
      <w:pPr>
        <w:pStyle w:val="NUOVOSOTTOPARAGRAFO"/>
        <w:rPr>
          <w:rFonts w:cs="Tahoma"/>
        </w:rPr>
      </w:pPr>
      <w:bookmarkStart w:id="175" w:name="_Toc161933237"/>
      <w:r w:rsidRPr="00305AEB">
        <w:rPr>
          <w:rFonts w:cs="Tahoma"/>
        </w:rPr>
        <w:t>9.2.5 Versamento, liquidazione, accertamento e riscossione</w:t>
      </w:r>
      <w:bookmarkEnd w:id="175"/>
    </w:p>
    <w:p w14:paraId="31D268E2" w14:textId="77777777" w:rsidR="008D15F0" w:rsidRDefault="008D15F0" w:rsidP="00186726">
      <w:pPr>
        <w:tabs>
          <w:tab w:val="left" w:pos="709"/>
          <w:tab w:val="right" w:pos="8080"/>
        </w:tabs>
        <w:rPr>
          <w:rFonts w:cs="Tahoma"/>
          <w:szCs w:val="20"/>
        </w:rPr>
      </w:pPr>
      <w:r w:rsidRPr="00305AEB">
        <w:rPr>
          <w:rFonts w:cs="Tahoma"/>
          <w:szCs w:val="20"/>
        </w:rPr>
        <w:t>Per il versamento, la liquidazione, l'accertamento, la riscossione, le sanzioni e i rimborsi nonché per il contenzioso, relativamente all’IVAFE, si applicano le disposizioni previste per l'IRPEF.</w:t>
      </w:r>
    </w:p>
    <w:p w14:paraId="362AA601" w14:textId="77777777" w:rsidR="00B92C8A" w:rsidRPr="00305AEB" w:rsidRDefault="00B92C8A" w:rsidP="00186726">
      <w:pPr>
        <w:tabs>
          <w:tab w:val="left" w:pos="709"/>
          <w:tab w:val="right" w:pos="8080"/>
        </w:tabs>
        <w:rPr>
          <w:rFonts w:cs="Tahoma"/>
          <w:szCs w:val="20"/>
        </w:rPr>
      </w:pPr>
    </w:p>
    <w:p w14:paraId="76E5F163" w14:textId="5989C054" w:rsidR="00B92C8A" w:rsidRPr="00305AEB" w:rsidRDefault="00B92C8A" w:rsidP="00B92C8A">
      <w:pPr>
        <w:pStyle w:val="NUOVOSOTTOPARAGRAFO"/>
        <w:rPr>
          <w:rFonts w:cs="Tahoma"/>
        </w:rPr>
      </w:pPr>
      <w:bookmarkStart w:id="176" w:name="_Toc161933238"/>
      <w:r w:rsidRPr="00305AEB">
        <w:rPr>
          <w:rFonts w:cs="Tahoma"/>
        </w:rPr>
        <w:t>9.2.</w:t>
      </w:r>
      <w:r>
        <w:rPr>
          <w:rFonts w:cs="Tahoma"/>
        </w:rPr>
        <w:t>6</w:t>
      </w:r>
      <w:r w:rsidRPr="00305AEB">
        <w:rPr>
          <w:rFonts w:cs="Tahoma"/>
        </w:rPr>
        <w:t xml:space="preserve"> </w:t>
      </w:r>
      <w:r>
        <w:rPr>
          <w:rFonts w:cs="Tahoma"/>
        </w:rPr>
        <w:t>Aliquota dello 0,4% sui prodotti finanziari in Stati black list</w:t>
      </w:r>
      <w:bookmarkEnd w:id="176"/>
    </w:p>
    <w:p w14:paraId="5ED68EDD" w14:textId="6E24A66F" w:rsidR="00537C94" w:rsidRDefault="00537C94" w:rsidP="00770F68">
      <w:pPr>
        <w:tabs>
          <w:tab w:val="left" w:pos="709"/>
          <w:tab w:val="right" w:pos="8080"/>
        </w:tabs>
        <w:rPr>
          <w:rFonts w:cs="Tahoma"/>
          <w:szCs w:val="20"/>
        </w:rPr>
      </w:pPr>
      <w:r>
        <w:rPr>
          <w:rFonts w:cs="Tahoma"/>
          <w:szCs w:val="20"/>
        </w:rPr>
        <w:t xml:space="preserve">Con riferimento all’IVAFE, la legge di bilancio 2024 ha previsto una modifica all’art. 19 del D.L. n. 201/2011 attraverso l’introduzione del nuovo comma 20-bis secondo il quale “l’imposta di cui al comma 18 è stabilita nella misura del 4 per mille annuo, a decorrere dal 2024, del valore dei prodotti finanziari detenuti in Stati o territori aventi un regime fiscale privilegiato individuati dal decreto del Ministro dell’Economia e delle finanze </w:t>
      </w:r>
      <w:r w:rsidR="00B67C9A">
        <w:rPr>
          <w:rFonts w:cs="Tahoma"/>
          <w:szCs w:val="20"/>
        </w:rPr>
        <w:t>del 4 maggio 1999 e successive modifiche”.</w:t>
      </w:r>
    </w:p>
    <w:p w14:paraId="5C3E4F37" w14:textId="053DC348" w:rsidR="00B67C9A" w:rsidRDefault="00B67C9A" w:rsidP="00770F68">
      <w:pPr>
        <w:tabs>
          <w:tab w:val="left" w:pos="709"/>
          <w:tab w:val="right" w:pos="8080"/>
        </w:tabs>
        <w:rPr>
          <w:rFonts w:cs="Tahoma"/>
          <w:szCs w:val="20"/>
        </w:rPr>
      </w:pPr>
      <w:r>
        <w:rPr>
          <w:rFonts w:cs="Tahoma"/>
          <w:szCs w:val="20"/>
        </w:rPr>
        <w:t>L’ambito oggettivo della norma risulta circoscritto ai soli “prodotti finanziari”. Pertanto, l’incremento non riguarderà il possesso o la detenzione di cripto-attività (fattispecie per le quali il concetto di territorialità è comunque abbastanza complesso).</w:t>
      </w:r>
    </w:p>
    <w:p w14:paraId="4FEFEDEE" w14:textId="77777777" w:rsidR="007214C7" w:rsidRDefault="007214C7" w:rsidP="00C91E55">
      <w:pPr>
        <w:pStyle w:val="NUOVOSOTTOPARAGRAFO"/>
        <w:rPr>
          <w:rFonts w:cs="Tahoma"/>
        </w:rPr>
      </w:pPr>
    </w:p>
    <w:p w14:paraId="420222F5" w14:textId="3736E4AF" w:rsidR="00C91E55" w:rsidRPr="00305AEB" w:rsidRDefault="00C91E55" w:rsidP="00C91E55">
      <w:pPr>
        <w:pStyle w:val="NUOVOSOTTOPARAGRAFO"/>
        <w:rPr>
          <w:rFonts w:cs="Tahoma"/>
        </w:rPr>
      </w:pPr>
      <w:bookmarkStart w:id="177" w:name="_Toc161933239"/>
      <w:r w:rsidRPr="00305AEB">
        <w:rPr>
          <w:rFonts w:cs="Tahoma"/>
        </w:rPr>
        <w:t>9.2.</w:t>
      </w:r>
      <w:r>
        <w:rPr>
          <w:rFonts w:cs="Tahoma"/>
        </w:rPr>
        <w:t>7</w:t>
      </w:r>
      <w:r w:rsidRPr="00305AEB">
        <w:rPr>
          <w:rFonts w:cs="Tahoma"/>
        </w:rPr>
        <w:t xml:space="preserve"> </w:t>
      </w:r>
      <w:r>
        <w:rPr>
          <w:rFonts w:cs="Tahoma"/>
        </w:rPr>
        <w:t>Imposta sul valore delle cripto-attività</w:t>
      </w:r>
      <w:bookmarkEnd w:id="177"/>
    </w:p>
    <w:p w14:paraId="44345475" w14:textId="21CC962B" w:rsidR="00C91E55" w:rsidRDefault="00D176D8" w:rsidP="000F35AA">
      <w:pPr>
        <w:tabs>
          <w:tab w:val="left" w:pos="709"/>
          <w:tab w:val="right" w:pos="8080"/>
        </w:tabs>
        <w:rPr>
          <w:rFonts w:cs="Tahoma"/>
          <w:szCs w:val="20"/>
        </w:rPr>
      </w:pPr>
      <w:r>
        <w:rPr>
          <w:rFonts w:cs="Tahoma"/>
          <w:szCs w:val="20"/>
        </w:rPr>
        <w:t xml:space="preserve">A partire dall’1.1.2023 anche le cripto-attività sono soggette all’imposta di bollo e ad un’imposta sul valore delle cripto-attività che riprende per </w:t>
      </w:r>
      <w:proofErr w:type="spellStart"/>
      <w:r>
        <w:rPr>
          <w:rFonts w:cs="Tahoma"/>
          <w:szCs w:val="20"/>
        </w:rPr>
        <w:t>buonoa</w:t>
      </w:r>
      <w:proofErr w:type="spellEnd"/>
      <w:r>
        <w:rPr>
          <w:rFonts w:cs="Tahoma"/>
          <w:szCs w:val="20"/>
        </w:rPr>
        <w:t xml:space="preserve"> parte la normativa dell’IVAFE.</w:t>
      </w:r>
    </w:p>
    <w:p w14:paraId="529B2E7E" w14:textId="22948288" w:rsidR="000F35AA" w:rsidRDefault="00D618B2" w:rsidP="000F35AA">
      <w:pPr>
        <w:tabs>
          <w:tab w:val="left" w:pos="709"/>
          <w:tab w:val="right" w:pos="8080"/>
        </w:tabs>
        <w:rPr>
          <w:rFonts w:cs="Tahoma"/>
          <w:szCs w:val="20"/>
        </w:rPr>
      </w:pPr>
      <w:r>
        <w:rPr>
          <w:rFonts w:cs="Tahoma"/>
          <w:szCs w:val="20"/>
        </w:rPr>
        <w:t>Entrambe le imposte adottano un’aliquota nella misura proporzionale dello 0,2%. L’imposta sul valore delle cripto-attività siano detenute presso un intermediario non residente, o se sono archiviate su chiavette, PC o smartphone.</w:t>
      </w:r>
    </w:p>
    <w:p w14:paraId="5C2A2BA0" w14:textId="097B8106" w:rsidR="00D618B2" w:rsidRDefault="00D618B2" w:rsidP="000F35AA">
      <w:pPr>
        <w:tabs>
          <w:tab w:val="left" w:pos="709"/>
          <w:tab w:val="right" w:pos="8080"/>
        </w:tabs>
        <w:rPr>
          <w:rFonts w:cs="Tahoma"/>
          <w:szCs w:val="20"/>
        </w:rPr>
      </w:pPr>
      <w:r>
        <w:rPr>
          <w:rFonts w:cs="Tahoma"/>
          <w:szCs w:val="20"/>
        </w:rPr>
        <w:t>Gli obblighi di assolvimento di quest’ultima vengono estesi alla generalità dei soggetti residenti, ove le cripto-attività</w:t>
      </w:r>
      <w:r w:rsidR="00307FD1">
        <w:rPr>
          <w:rFonts w:cs="Tahoma"/>
          <w:szCs w:val="20"/>
        </w:rPr>
        <w:t xml:space="preserve"> non siano assoggettate all’imposta di bollo.</w:t>
      </w:r>
    </w:p>
    <w:p w14:paraId="6A09ADC8" w14:textId="48C6DAB4" w:rsidR="0078665B" w:rsidRDefault="00307FD1" w:rsidP="007214C7">
      <w:pPr>
        <w:tabs>
          <w:tab w:val="left" w:pos="709"/>
          <w:tab w:val="right" w:pos="8080"/>
        </w:tabs>
        <w:rPr>
          <w:rFonts w:cs="Tahoma"/>
          <w:szCs w:val="20"/>
        </w:rPr>
      </w:pPr>
      <w:r>
        <w:rPr>
          <w:rFonts w:cs="Tahoma"/>
          <w:szCs w:val="20"/>
        </w:rPr>
        <w:lastRenderedPageBreak/>
        <w:t>Sembra, quindi, che anche i soggetti imprenditori dovranno assolverla. Resta comunque fermo quanto previsto dal comma 20 dell’art. 19 del D.L. n. 201 del 2011, secondo cui per i soggetti diversi dalle persone fisiche l’imposta è dovuta nella misura massima di 14.000 euro.</w:t>
      </w:r>
    </w:p>
    <w:p w14:paraId="3B8D4FB0" w14:textId="77777777" w:rsidR="007214C7" w:rsidRDefault="007214C7" w:rsidP="00186726">
      <w:pPr>
        <w:pStyle w:val="NUOVOSOTTOPARAGRAFO"/>
        <w:rPr>
          <w:rFonts w:cs="Tahoma"/>
        </w:rPr>
      </w:pPr>
    </w:p>
    <w:p w14:paraId="75C543F0" w14:textId="12900E9D" w:rsidR="008D15F0" w:rsidRPr="00305AEB" w:rsidRDefault="008D15F0" w:rsidP="00186726">
      <w:pPr>
        <w:pStyle w:val="NUOVOSOTTOPARAGRAFO"/>
        <w:rPr>
          <w:rFonts w:cs="Tahoma"/>
        </w:rPr>
      </w:pPr>
      <w:bookmarkStart w:id="178" w:name="_Toc161933240"/>
      <w:r w:rsidRPr="00305AEB">
        <w:rPr>
          <w:rFonts w:cs="Tahoma"/>
        </w:rPr>
        <w:t>9.2.</w:t>
      </w:r>
      <w:r w:rsidR="001B6C5D">
        <w:rPr>
          <w:rFonts w:cs="Tahoma"/>
        </w:rPr>
        <w:t>8</w:t>
      </w:r>
      <w:r w:rsidRPr="00305AEB">
        <w:rPr>
          <w:rFonts w:cs="Tahoma"/>
        </w:rPr>
        <w:t xml:space="preserve"> Esempi di calcolo IVAFE</w:t>
      </w:r>
      <w:bookmarkEnd w:id="178"/>
    </w:p>
    <w:p w14:paraId="2BCC4327" w14:textId="77777777" w:rsidR="008D15F0" w:rsidRPr="00305AEB" w:rsidRDefault="008D15F0" w:rsidP="00186726">
      <w:pPr>
        <w:tabs>
          <w:tab w:val="left" w:pos="709"/>
          <w:tab w:val="right" w:pos="8080"/>
        </w:tabs>
        <w:rPr>
          <w:rFonts w:cs="Tahoma"/>
          <w:szCs w:val="20"/>
        </w:rPr>
      </w:pPr>
      <w:r w:rsidRPr="00305AEB">
        <w:rPr>
          <w:rFonts w:cs="Tahoma"/>
          <w:szCs w:val="20"/>
        </w:rPr>
        <w:t>1) Si ipotizzano due conti correnti presso lo stesso intermediario:</w:t>
      </w:r>
    </w:p>
    <w:p w14:paraId="5638F779" w14:textId="77777777" w:rsidR="008D15F0" w:rsidRPr="00305AEB" w:rsidRDefault="008D15F0" w:rsidP="00186726">
      <w:pPr>
        <w:pStyle w:val="Paragrafoelenco"/>
        <w:numPr>
          <w:ilvl w:val="0"/>
          <w:numId w:val="59"/>
        </w:numPr>
        <w:tabs>
          <w:tab w:val="left" w:pos="709"/>
          <w:tab w:val="right" w:pos="8080"/>
        </w:tabs>
        <w:rPr>
          <w:rFonts w:cs="Tahoma"/>
          <w:szCs w:val="20"/>
        </w:rPr>
      </w:pPr>
      <w:r w:rsidRPr="00305AEB">
        <w:rPr>
          <w:rFonts w:cs="Tahoma"/>
          <w:szCs w:val="20"/>
        </w:rPr>
        <w:t xml:space="preserve">conto A possesso 100% per 365 giorni con valore medio 1.000 </w:t>
      </w:r>
      <w:proofErr w:type="gramStart"/>
      <w:r w:rsidRPr="00305AEB">
        <w:rPr>
          <w:rFonts w:cs="Tahoma"/>
          <w:szCs w:val="20"/>
        </w:rPr>
        <w:t>Euro</w:t>
      </w:r>
      <w:proofErr w:type="gramEnd"/>
      <w:r w:rsidRPr="00305AEB">
        <w:rPr>
          <w:rFonts w:cs="Tahoma"/>
          <w:szCs w:val="20"/>
        </w:rPr>
        <w:t>;</w:t>
      </w:r>
    </w:p>
    <w:p w14:paraId="627AC1A9" w14:textId="77777777" w:rsidR="008D15F0" w:rsidRPr="00305AEB" w:rsidRDefault="008D15F0" w:rsidP="00186726">
      <w:pPr>
        <w:pStyle w:val="Paragrafoelenco"/>
        <w:numPr>
          <w:ilvl w:val="0"/>
          <w:numId w:val="59"/>
        </w:numPr>
        <w:tabs>
          <w:tab w:val="left" w:pos="709"/>
          <w:tab w:val="right" w:pos="8080"/>
        </w:tabs>
        <w:rPr>
          <w:rFonts w:cs="Tahoma"/>
          <w:szCs w:val="20"/>
        </w:rPr>
      </w:pPr>
      <w:r w:rsidRPr="00305AEB">
        <w:rPr>
          <w:rFonts w:cs="Tahoma"/>
          <w:szCs w:val="20"/>
        </w:rPr>
        <w:t xml:space="preserve">conto B possesso 50% per 365 giorni con valore medio 7.000 </w:t>
      </w:r>
      <w:proofErr w:type="gramStart"/>
      <w:r w:rsidRPr="00305AEB">
        <w:rPr>
          <w:rFonts w:cs="Tahoma"/>
          <w:szCs w:val="20"/>
        </w:rPr>
        <w:t>Euro</w:t>
      </w:r>
      <w:proofErr w:type="gramEnd"/>
      <w:r w:rsidRPr="00305AEB">
        <w:rPr>
          <w:rFonts w:cs="Tahoma"/>
          <w:szCs w:val="20"/>
        </w:rPr>
        <w:t>;</w:t>
      </w:r>
    </w:p>
    <w:p w14:paraId="1A644F08" w14:textId="77777777" w:rsidR="008D15F0" w:rsidRPr="00305AEB" w:rsidRDefault="008D15F0" w:rsidP="00186726">
      <w:pPr>
        <w:tabs>
          <w:tab w:val="left" w:pos="709"/>
          <w:tab w:val="right" w:pos="8080"/>
        </w:tabs>
        <w:rPr>
          <w:rFonts w:cs="Tahoma"/>
          <w:szCs w:val="20"/>
        </w:rPr>
      </w:pPr>
      <w:r w:rsidRPr="00305AEB">
        <w:rPr>
          <w:rFonts w:cs="Tahoma"/>
          <w:szCs w:val="20"/>
        </w:rPr>
        <w:t xml:space="preserve">Totale valore medio = 1.000 + (7.000 × 0,5) = 4.500 </w:t>
      </w:r>
      <w:proofErr w:type="gramStart"/>
      <w:r w:rsidRPr="00305AEB">
        <w:rPr>
          <w:rFonts w:cs="Tahoma"/>
          <w:szCs w:val="20"/>
        </w:rPr>
        <w:t>Euro</w:t>
      </w:r>
      <w:proofErr w:type="gramEnd"/>
      <w:r w:rsidRPr="00305AEB">
        <w:rPr>
          <w:rFonts w:cs="Tahoma"/>
          <w:szCs w:val="20"/>
        </w:rPr>
        <w:t>.</w:t>
      </w:r>
    </w:p>
    <w:p w14:paraId="1538A932" w14:textId="77777777" w:rsidR="008D15F0" w:rsidRPr="00305AEB" w:rsidRDefault="008D15F0" w:rsidP="00186726">
      <w:pPr>
        <w:tabs>
          <w:tab w:val="left" w:pos="709"/>
          <w:tab w:val="right" w:pos="8080"/>
        </w:tabs>
        <w:rPr>
          <w:rFonts w:cs="Tahoma"/>
          <w:szCs w:val="20"/>
        </w:rPr>
      </w:pPr>
      <w:r w:rsidRPr="00305AEB">
        <w:rPr>
          <w:rFonts w:cs="Tahoma"/>
          <w:szCs w:val="20"/>
        </w:rPr>
        <w:t xml:space="preserve">Il valore medio di giacenza complessivo (pro quota) è inferiore a 5.000 </w:t>
      </w:r>
      <w:proofErr w:type="gramStart"/>
      <w:r w:rsidRPr="00305AEB">
        <w:rPr>
          <w:rFonts w:cs="Tahoma"/>
          <w:szCs w:val="20"/>
        </w:rPr>
        <w:t>Euro</w:t>
      </w:r>
      <w:proofErr w:type="gramEnd"/>
      <w:r w:rsidRPr="00305AEB">
        <w:rPr>
          <w:rFonts w:cs="Tahoma"/>
          <w:szCs w:val="20"/>
        </w:rPr>
        <w:t>, l'imposta non è dovuta. </w:t>
      </w:r>
    </w:p>
    <w:p w14:paraId="39BF9AFD" w14:textId="77777777" w:rsidR="008D15F0" w:rsidRPr="00305AEB" w:rsidRDefault="008D15F0" w:rsidP="00186726">
      <w:pPr>
        <w:tabs>
          <w:tab w:val="left" w:pos="709"/>
          <w:tab w:val="right" w:pos="8080"/>
        </w:tabs>
        <w:rPr>
          <w:rFonts w:cs="Tahoma"/>
          <w:szCs w:val="20"/>
        </w:rPr>
      </w:pPr>
      <w:r w:rsidRPr="00305AEB">
        <w:rPr>
          <w:rFonts w:cs="Tahoma"/>
          <w:szCs w:val="20"/>
        </w:rPr>
        <w:t>2) Si ipotizzano due conti correnti presso lo stesso intermediario estero:</w:t>
      </w:r>
    </w:p>
    <w:p w14:paraId="06A99BC1" w14:textId="77777777" w:rsidR="008D15F0" w:rsidRPr="00305AEB" w:rsidRDefault="008D15F0" w:rsidP="00186726">
      <w:pPr>
        <w:pStyle w:val="Paragrafoelenco"/>
        <w:numPr>
          <w:ilvl w:val="0"/>
          <w:numId w:val="60"/>
        </w:numPr>
        <w:tabs>
          <w:tab w:val="left" w:pos="709"/>
          <w:tab w:val="right" w:pos="8080"/>
        </w:tabs>
        <w:rPr>
          <w:rFonts w:cs="Tahoma"/>
          <w:szCs w:val="20"/>
        </w:rPr>
      </w:pPr>
      <w:r w:rsidRPr="00305AEB">
        <w:rPr>
          <w:rFonts w:cs="Tahoma"/>
          <w:szCs w:val="20"/>
        </w:rPr>
        <w:t xml:space="preserve">conto A possesso 50% per 365 giorni con valore medio 5.000 </w:t>
      </w:r>
      <w:proofErr w:type="gramStart"/>
      <w:r w:rsidRPr="00305AEB">
        <w:rPr>
          <w:rFonts w:cs="Tahoma"/>
          <w:szCs w:val="20"/>
        </w:rPr>
        <w:t>Euro</w:t>
      </w:r>
      <w:proofErr w:type="gramEnd"/>
      <w:r w:rsidRPr="00305AEB">
        <w:rPr>
          <w:rFonts w:cs="Tahoma"/>
          <w:szCs w:val="20"/>
        </w:rPr>
        <w:t>;</w:t>
      </w:r>
    </w:p>
    <w:p w14:paraId="33C8E54D" w14:textId="77777777" w:rsidR="008D15F0" w:rsidRPr="00305AEB" w:rsidRDefault="008D15F0" w:rsidP="00186726">
      <w:pPr>
        <w:pStyle w:val="Paragrafoelenco"/>
        <w:numPr>
          <w:ilvl w:val="0"/>
          <w:numId w:val="60"/>
        </w:numPr>
        <w:tabs>
          <w:tab w:val="left" w:pos="709"/>
          <w:tab w:val="right" w:pos="8080"/>
        </w:tabs>
        <w:rPr>
          <w:rFonts w:cs="Tahoma"/>
          <w:szCs w:val="20"/>
        </w:rPr>
      </w:pPr>
      <w:r w:rsidRPr="00305AEB">
        <w:rPr>
          <w:rFonts w:cs="Tahoma"/>
          <w:szCs w:val="20"/>
        </w:rPr>
        <w:t xml:space="preserve">conto B possesso 100% per 365 giorni con valore medio 3.000 </w:t>
      </w:r>
      <w:proofErr w:type="gramStart"/>
      <w:r w:rsidRPr="00305AEB">
        <w:rPr>
          <w:rFonts w:cs="Tahoma"/>
          <w:szCs w:val="20"/>
        </w:rPr>
        <w:t>Euro</w:t>
      </w:r>
      <w:proofErr w:type="gramEnd"/>
      <w:r w:rsidRPr="00305AEB">
        <w:rPr>
          <w:rFonts w:cs="Tahoma"/>
          <w:szCs w:val="20"/>
        </w:rPr>
        <w:t>.</w:t>
      </w:r>
    </w:p>
    <w:p w14:paraId="3D117890" w14:textId="77777777" w:rsidR="008D15F0" w:rsidRPr="00305AEB" w:rsidRDefault="008D15F0" w:rsidP="00186726">
      <w:pPr>
        <w:tabs>
          <w:tab w:val="left" w:pos="709"/>
          <w:tab w:val="right" w:pos="8080"/>
        </w:tabs>
        <w:rPr>
          <w:rFonts w:cs="Tahoma"/>
          <w:szCs w:val="20"/>
        </w:rPr>
      </w:pPr>
      <w:r w:rsidRPr="00305AEB">
        <w:rPr>
          <w:rFonts w:cs="Tahoma"/>
          <w:szCs w:val="20"/>
        </w:rPr>
        <w:t xml:space="preserve">Il valore medio di giacenza complessivo (pro quota) è [(5.000 × 0,5) + 3.000] = 5.500 </w:t>
      </w:r>
      <w:proofErr w:type="gramStart"/>
      <w:r w:rsidRPr="00305AEB">
        <w:rPr>
          <w:rFonts w:cs="Tahoma"/>
          <w:szCs w:val="20"/>
        </w:rPr>
        <w:t>Euro</w:t>
      </w:r>
      <w:proofErr w:type="gramEnd"/>
      <w:r w:rsidRPr="00305AEB">
        <w:rPr>
          <w:rFonts w:cs="Tahoma"/>
          <w:szCs w:val="20"/>
        </w:rPr>
        <w:t>, pertanto è dovuta la relativa imposta.</w:t>
      </w:r>
    </w:p>
    <w:p w14:paraId="624B11FD" w14:textId="77777777" w:rsidR="008D15F0" w:rsidRPr="00305AEB" w:rsidRDefault="008D15F0" w:rsidP="00186726">
      <w:pPr>
        <w:tabs>
          <w:tab w:val="left" w:pos="709"/>
          <w:tab w:val="right" w:pos="8080"/>
        </w:tabs>
        <w:rPr>
          <w:rFonts w:cs="Tahoma"/>
          <w:szCs w:val="20"/>
        </w:rPr>
      </w:pPr>
      <w:r w:rsidRPr="00305AEB">
        <w:rPr>
          <w:rFonts w:cs="Tahoma"/>
          <w:szCs w:val="20"/>
        </w:rPr>
        <w:t>In questo caso, nel modello REDDITI devono essere compilati due distinti righi del quadro RW: </w:t>
      </w:r>
    </w:p>
    <w:p w14:paraId="74FE0367" w14:textId="77777777" w:rsidR="008D15F0" w:rsidRPr="00305AEB" w:rsidRDefault="008D15F0" w:rsidP="00186726">
      <w:pPr>
        <w:pStyle w:val="Paragrafoelenco"/>
        <w:numPr>
          <w:ilvl w:val="0"/>
          <w:numId w:val="61"/>
        </w:numPr>
        <w:tabs>
          <w:tab w:val="left" w:pos="709"/>
          <w:tab w:val="right" w:pos="8080"/>
        </w:tabs>
        <w:rPr>
          <w:rFonts w:cs="Tahoma"/>
          <w:szCs w:val="20"/>
        </w:rPr>
      </w:pPr>
      <w:r w:rsidRPr="00305AEB">
        <w:rPr>
          <w:rFonts w:cs="Tahoma"/>
          <w:szCs w:val="20"/>
        </w:rPr>
        <w:t>il valore medio da indicare nella colonna 8 di entrambi i righi è "5.500";</w:t>
      </w:r>
    </w:p>
    <w:p w14:paraId="4FD58738" w14:textId="77777777" w:rsidR="008D15F0" w:rsidRPr="00305AEB" w:rsidRDefault="008D15F0" w:rsidP="00186726">
      <w:pPr>
        <w:pStyle w:val="Paragrafoelenco"/>
        <w:numPr>
          <w:ilvl w:val="0"/>
          <w:numId w:val="61"/>
        </w:numPr>
        <w:tabs>
          <w:tab w:val="left" w:pos="709"/>
          <w:tab w:val="right" w:pos="8080"/>
        </w:tabs>
        <w:rPr>
          <w:rFonts w:cs="Tahoma"/>
          <w:szCs w:val="20"/>
        </w:rPr>
      </w:pPr>
      <w:r w:rsidRPr="00305AEB">
        <w:rPr>
          <w:rFonts w:cs="Tahoma"/>
          <w:szCs w:val="20"/>
        </w:rPr>
        <w:t>nella colonna 11, rigo RW1, relativo al primo conto corrente va indicato "17" dato da [(34,20 × 50% × (365/365)];</w:t>
      </w:r>
    </w:p>
    <w:p w14:paraId="28267102" w14:textId="77777777" w:rsidR="007630E9" w:rsidRPr="00305AEB" w:rsidRDefault="008D15F0" w:rsidP="00186726">
      <w:pPr>
        <w:pStyle w:val="Paragrafoelenco"/>
        <w:numPr>
          <w:ilvl w:val="0"/>
          <w:numId w:val="61"/>
        </w:numPr>
        <w:tabs>
          <w:tab w:val="left" w:pos="709"/>
          <w:tab w:val="right" w:pos="8080"/>
        </w:tabs>
        <w:rPr>
          <w:rFonts w:cs="Tahoma"/>
          <w:szCs w:val="20"/>
        </w:rPr>
        <w:sectPr w:rsidR="007630E9" w:rsidRPr="00305AEB" w:rsidSect="00471E5B">
          <w:pgSz w:w="11906" w:h="16838" w:code="9"/>
          <w:pgMar w:top="1418" w:right="1418" w:bottom="510" w:left="1276" w:header="709" w:footer="567" w:gutter="0"/>
          <w:pgNumType w:chapStyle="1"/>
          <w:cols w:space="708"/>
          <w:titlePg/>
          <w:docGrid w:linePitch="360"/>
        </w:sectPr>
      </w:pPr>
      <w:r w:rsidRPr="00305AEB">
        <w:rPr>
          <w:rFonts w:cs="Tahoma"/>
          <w:szCs w:val="20"/>
        </w:rPr>
        <w:t>nella colonna 11, rigo RW2, relativo al secondo conto corrente va indicato 34,20 euro dato da [(34,20 × 100% × (365/365)].</w:t>
      </w:r>
      <w:bookmarkStart w:id="179" w:name="_Toc441597089"/>
      <w:bookmarkStart w:id="180" w:name="_Toc441598985"/>
      <w:bookmarkStart w:id="181" w:name="_Toc441599413"/>
    </w:p>
    <w:p w14:paraId="26B5D1B6" w14:textId="77777777" w:rsidR="008D15F0" w:rsidRPr="00305AEB" w:rsidRDefault="008D15F0" w:rsidP="00186726">
      <w:pPr>
        <w:pStyle w:val="Titolo1"/>
        <w:spacing w:line="360" w:lineRule="auto"/>
        <w:rPr>
          <w:rFonts w:cs="Tahoma"/>
          <w:sz w:val="20"/>
          <w:szCs w:val="20"/>
        </w:rPr>
      </w:pPr>
      <w:bookmarkStart w:id="182" w:name="_Toc161933241"/>
      <w:r w:rsidRPr="00305AEB">
        <w:rPr>
          <w:rFonts w:cs="Tahoma"/>
        </w:rPr>
        <w:lastRenderedPageBreak/>
        <w:t>Riferimenti normativi</w:t>
      </w:r>
      <w:bookmarkEnd w:id="179"/>
      <w:bookmarkEnd w:id="180"/>
      <w:bookmarkEnd w:id="181"/>
      <w:bookmarkEnd w:id="182"/>
      <w:r w:rsidRPr="00305AEB">
        <w:rPr>
          <w:rFonts w:cs="Tahoma"/>
        </w:rPr>
        <w:t xml:space="preserve"> </w:t>
      </w:r>
    </w:p>
    <w:p w14:paraId="283B0038" w14:textId="77777777" w:rsidR="008D15F0" w:rsidRPr="00305AEB" w:rsidRDefault="008D15F0" w:rsidP="00186726">
      <w:pPr>
        <w:pStyle w:val="Sottotitolo"/>
        <w:rPr>
          <w:rFonts w:cs="Tahoma"/>
          <w:spacing w:val="0"/>
        </w:rPr>
      </w:pPr>
    </w:p>
    <w:p w14:paraId="08EA9ED3" w14:textId="350E3CF1" w:rsidR="007630E9" w:rsidRPr="00305AEB" w:rsidRDefault="007630E9" w:rsidP="00186726">
      <w:pPr>
        <w:rPr>
          <w:rFonts w:cs="Tahoma"/>
        </w:rPr>
      </w:pPr>
    </w:p>
    <w:p w14:paraId="7E44C183" w14:textId="695B175F" w:rsidR="007630E9" w:rsidRPr="00305AEB" w:rsidRDefault="007630E9" w:rsidP="00186726">
      <w:pPr>
        <w:rPr>
          <w:rFonts w:cs="Tahoma"/>
        </w:rPr>
      </w:pPr>
    </w:p>
    <w:p w14:paraId="669C7851" w14:textId="1BC0AF58" w:rsidR="004F533C" w:rsidRPr="00305AEB" w:rsidRDefault="004F533C" w:rsidP="00186726">
      <w:pPr>
        <w:rPr>
          <w:rFonts w:cs="Tahoma"/>
        </w:rPr>
      </w:pPr>
    </w:p>
    <w:p w14:paraId="4A13765F" w14:textId="71C14B9F" w:rsidR="004F533C" w:rsidRPr="00305AEB" w:rsidRDefault="004F533C" w:rsidP="00186726">
      <w:pPr>
        <w:rPr>
          <w:rFonts w:cs="Tahoma"/>
        </w:rPr>
      </w:pPr>
    </w:p>
    <w:p w14:paraId="1F7F0867" w14:textId="77777777" w:rsidR="004F533C" w:rsidRPr="00305AEB" w:rsidRDefault="004F533C" w:rsidP="00186726">
      <w:pPr>
        <w:rPr>
          <w:rFonts w:cs="Tahoma"/>
        </w:rPr>
      </w:pPr>
    </w:p>
    <w:p w14:paraId="3CDE4A9A" w14:textId="4084EBF4" w:rsidR="0027417D" w:rsidRPr="00305AEB" w:rsidRDefault="008D15F0" w:rsidP="00186726">
      <w:pPr>
        <w:pStyle w:val="Sottotitolo"/>
      </w:pPr>
      <w:bookmarkStart w:id="183" w:name="_Toc161933242"/>
      <w:r w:rsidRPr="00305AEB">
        <w:rPr>
          <w:rFonts w:cs="Tahoma"/>
          <w:spacing w:val="0"/>
        </w:rPr>
        <w:t>Legislazione</w:t>
      </w:r>
      <w:bookmarkEnd w:id="183"/>
    </w:p>
    <w:p w14:paraId="7347C72A" w14:textId="2CF74C5C" w:rsidR="00210618" w:rsidRDefault="00210618" w:rsidP="00186726">
      <w:pPr>
        <w:numPr>
          <w:ilvl w:val="0"/>
          <w:numId w:val="1"/>
        </w:numPr>
        <w:tabs>
          <w:tab w:val="left" w:pos="709"/>
          <w:tab w:val="right" w:pos="8080"/>
        </w:tabs>
        <w:rPr>
          <w:rFonts w:cs="Tahoma"/>
          <w:szCs w:val="20"/>
        </w:rPr>
      </w:pPr>
      <w:r>
        <w:rPr>
          <w:rFonts w:cs="Tahoma"/>
          <w:szCs w:val="20"/>
        </w:rPr>
        <w:t xml:space="preserve">D. Lgs. n. 209 del 2023 </w:t>
      </w:r>
    </w:p>
    <w:p w14:paraId="402C87AF" w14:textId="4D7DB81A" w:rsidR="002C238A" w:rsidRDefault="002C238A" w:rsidP="00186726">
      <w:pPr>
        <w:numPr>
          <w:ilvl w:val="0"/>
          <w:numId w:val="1"/>
        </w:numPr>
        <w:tabs>
          <w:tab w:val="left" w:pos="709"/>
          <w:tab w:val="right" w:pos="8080"/>
        </w:tabs>
        <w:rPr>
          <w:rFonts w:cs="Tahoma"/>
          <w:szCs w:val="20"/>
        </w:rPr>
      </w:pPr>
      <w:r>
        <w:rPr>
          <w:rFonts w:cs="Tahoma"/>
          <w:szCs w:val="20"/>
        </w:rPr>
        <w:t>Legge n. 83 del 13 giugno 2023</w:t>
      </w:r>
    </w:p>
    <w:p w14:paraId="2121C416" w14:textId="1F70A9BD" w:rsidR="0027417D" w:rsidRPr="00305AEB" w:rsidRDefault="0027417D" w:rsidP="00186726">
      <w:pPr>
        <w:numPr>
          <w:ilvl w:val="0"/>
          <w:numId w:val="1"/>
        </w:numPr>
        <w:tabs>
          <w:tab w:val="left" w:pos="709"/>
          <w:tab w:val="right" w:pos="8080"/>
        </w:tabs>
        <w:rPr>
          <w:rFonts w:cs="Tahoma"/>
          <w:szCs w:val="20"/>
        </w:rPr>
      </w:pPr>
      <w:r w:rsidRPr="00305AEB">
        <w:rPr>
          <w:rFonts w:cs="Tahoma"/>
          <w:szCs w:val="20"/>
        </w:rPr>
        <w:t>L. 197/2022 (legge di bilancio 2023)</w:t>
      </w:r>
    </w:p>
    <w:p w14:paraId="651450DB" w14:textId="1C9F2A2D" w:rsidR="008D15F0" w:rsidRPr="00305AEB" w:rsidRDefault="008D15F0" w:rsidP="00186726">
      <w:pPr>
        <w:numPr>
          <w:ilvl w:val="0"/>
          <w:numId w:val="1"/>
        </w:numPr>
        <w:tabs>
          <w:tab w:val="left" w:pos="709"/>
          <w:tab w:val="right" w:pos="8080"/>
        </w:tabs>
        <w:rPr>
          <w:rFonts w:cs="Tahoma"/>
          <w:szCs w:val="20"/>
        </w:rPr>
      </w:pPr>
      <w:r w:rsidRPr="00305AEB">
        <w:rPr>
          <w:rFonts w:cs="Tahoma"/>
          <w:szCs w:val="20"/>
        </w:rPr>
        <w:t>Legge n. 228 del 2018</w:t>
      </w:r>
    </w:p>
    <w:p w14:paraId="576EDB9E" w14:textId="77777777" w:rsidR="008D15F0" w:rsidRPr="00305AEB" w:rsidRDefault="008D15F0" w:rsidP="00186726">
      <w:pPr>
        <w:numPr>
          <w:ilvl w:val="0"/>
          <w:numId w:val="1"/>
        </w:numPr>
        <w:tabs>
          <w:tab w:val="left" w:pos="709"/>
          <w:tab w:val="right" w:pos="8080"/>
        </w:tabs>
        <w:rPr>
          <w:rFonts w:cs="Tahoma"/>
          <w:szCs w:val="20"/>
        </w:rPr>
      </w:pPr>
      <w:r w:rsidRPr="00305AEB">
        <w:rPr>
          <w:rFonts w:cs="Tahoma"/>
          <w:szCs w:val="20"/>
        </w:rPr>
        <w:t>Legge n. 122 del 2016</w:t>
      </w:r>
    </w:p>
    <w:p w14:paraId="52EC121E" w14:textId="77777777" w:rsidR="008D15F0" w:rsidRPr="00305AEB" w:rsidRDefault="008D15F0" w:rsidP="00186726">
      <w:pPr>
        <w:numPr>
          <w:ilvl w:val="0"/>
          <w:numId w:val="1"/>
        </w:numPr>
        <w:tabs>
          <w:tab w:val="left" w:pos="709"/>
          <w:tab w:val="right" w:pos="8080"/>
        </w:tabs>
        <w:rPr>
          <w:rFonts w:cs="Tahoma"/>
          <w:szCs w:val="20"/>
        </w:rPr>
      </w:pPr>
      <w:r w:rsidRPr="00305AEB">
        <w:rPr>
          <w:rFonts w:cs="Tahoma"/>
          <w:szCs w:val="20"/>
        </w:rPr>
        <w:t>D. Lgs. n. 147 del 2015</w:t>
      </w:r>
    </w:p>
    <w:p w14:paraId="457FDAF2" w14:textId="77777777" w:rsidR="008D15F0" w:rsidRPr="00305AEB" w:rsidRDefault="008D15F0" w:rsidP="00186726">
      <w:pPr>
        <w:numPr>
          <w:ilvl w:val="0"/>
          <w:numId w:val="1"/>
        </w:numPr>
        <w:tabs>
          <w:tab w:val="left" w:pos="709"/>
          <w:tab w:val="right" w:pos="8080"/>
        </w:tabs>
        <w:rPr>
          <w:rFonts w:cs="Tahoma"/>
          <w:szCs w:val="20"/>
        </w:rPr>
      </w:pPr>
      <w:r w:rsidRPr="00305AEB">
        <w:rPr>
          <w:rFonts w:cs="Tahoma"/>
          <w:szCs w:val="20"/>
        </w:rPr>
        <w:t>Legge n. 147 del 2013</w:t>
      </w:r>
    </w:p>
    <w:p w14:paraId="54FF4BC8" w14:textId="77777777" w:rsidR="008D15F0" w:rsidRPr="00305AEB" w:rsidRDefault="008D15F0" w:rsidP="00186726">
      <w:pPr>
        <w:numPr>
          <w:ilvl w:val="0"/>
          <w:numId w:val="1"/>
        </w:numPr>
        <w:tabs>
          <w:tab w:val="left" w:pos="709"/>
          <w:tab w:val="right" w:pos="8080"/>
        </w:tabs>
        <w:rPr>
          <w:rFonts w:cs="Tahoma"/>
          <w:szCs w:val="20"/>
        </w:rPr>
      </w:pPr>
      <w:r w:rsidRPr="00305AEB">
        <w:rPr>
          <w:rFonts w:cs="Tahoma"/>
          <w:szCs w:val="20"/>
        </w:rPr>
        <w:t>D.L. n. 201 del 2011</w:t>
      </w:r>
    </w:p>
    <w:p w14:paraId="610B17A3" w14:textId="77777777" w:rsidR="008D15F0" w:rsidRPr="00305AEB" w:rsidRDefault="008D15F0" w:rsidP="00186726">
      <w:pPr>
        <w:numPr>
          <w:ilvl w:val="0"/>
          <w:numId w:val="1"/>
        </w:numPr>
        <w:tabs>
          <w:tab w:val="left" w:pos="709"/>
          <w:tab w:val="right" w:pos="8080"/>
        </w:tabs>
        <w:rPr>
          <w:rFonts w:cs="Tahoma"/>
          <w:szCs w:val="20"/>
        </w:rPr>
      </w:pPr>
      <w:r w:rsidRPr="00305AEB">
        <w:rPr>
          <w:rFonts w:cs="Tahoma"/>
          <w:szCs w:val="20"/>
        </w:rPr>
        <w:t>D. Lgs. n. 231 del 2007</w:t>
      </w:r>
    </w:p>
    <w:p w14:paraId="0196BC35" w14:textId="77777777" w:rsidR="008D15F0" w:rsidRPr="00305AEB" w:rsidRDefault="008D15F0" w:rsidP="00186726">
      <w:pPr>
        <w:numPr>
          <w:ilvl w:val="0"/>
          <w:numId w:val="1"/>
        </w:numPr>
        <w:tabs>
          <w:tab w:val="left" w:pos="709"/>
          <w:tab w:val="right" w:pos="8080"/>
        </w:tabs>
        <w:rPr>
          <w:rFonts w:cs="Tahoma"/>
          <w:szCs w:val="20"/>
        </w:rPr>
      </w:pPr>
      <w:r w:rsidRPr="00305AEB">
        <w:rPr>
          <w:rFonts w:cs="Tahoma"/>
          <w:szCs w:val="20"/>
        </w:rPr>
        <w:t>DM 4.5.99</w:t>
      </w:r>
    </w:p>
    <w:p w14:paraId="0EBEF7A0" w14:textId="77777777" w:rsidR="008D15F0" w:rsidRPr="00305AEB" w:rsidRDefault="008D15F0" w:rsidP="00186726">
      <w:pPr>
        <w:numPr>
          <w:ilvl w:val="0"/>
          <w:numId w:val="1"/>
        </w:numPr>
        <w:tabs>
          <w:tab w:val="left" w:pos="709"/>
          <w:tab w:val="right" w:pos="8080"/>
        </w:tabs>
        <w:rPr>
          <w:rFonts w:cs="Tahoma"/>
          <w:szCs w:val="20"/>
        </w:rPr>
      </w:pPr>
      <w:r w:rsidRPr="00305AEB">
        <w:rPr>
          <w:rFonts w:cs="Tahoma"/>
          <w:szCs w:val="20"/>
        </w:rPr>
        <w:t>Legge n. 239 del 1996</w:t>
      </w:r>
    </w:p>
    <w:p w14:paraId="4F2E7BB5" w14:textId="77777777" w:rsidR="008D15F0" w:rsidRPr="00305AEB" w:rsidRDefault="008D15F0" w:rsidP="00186726">
      <w:pPr>
        <w:numPr>
          <w:ilvl w:val="0"/>
          <w:numId w:val="1"/>
        </w:numPr>
        <w:tabs>
          <w:tab w:val="left" w:pos="709"/>
          <w:tab w:val="right" w:pos="8080"/>
        </w:tabs>
        <w:rPr>
          <w:rFonts w:cs="Tahoma"/>
          <w:szCs w:val="20"/>
        </w:rPr>
      </w:pPr>
      <w:r w:rsidRPr="00305AEB">
        <w:rPr>
          <w:rFonts w:cs="Tahoma"/>
          <w:szCs w:val="20"/>
        </w:rPr>
        <w:t>D.L. n. 167 del 1990</w:t>
      </w:r>
    </w:p>
    <w:p w14:paraId="454CB824" w14:textId="77777777" w:rsidR="008D15F0" w:rsidRPr="00305AEB" w:rsidRDefault="008D15F0" w:rsidP="00186726">
      <w:pPr>
        <w:numPr>
          <w:ilvl w:val="0"/>
          <w:numId w:val="1"/>
        </w:numPr>
        <w:tabs>
          <w:tab w:val="left" w:pos="709"/>
          <w:tab w:val="right" w:pos="8080"/>
        </w:tabs>
        <w:rPr>
          <w:rFonts w:cs="Tahoma"/>
          <w:szCs w:val="20"/>
        </w:rPr>
      </w:pPr>
      <w:r w:rsidRPr="00305AEB">
        <w:rPr>
          <w:rFonts w:cs="Tahoma"/>
          <w:szCs w:val="20"/>
        </w:rPr>
        <w:t>D.P.R. 917 del 1986</w:t>
      </w:r>
    </w:p>
    <w:p w14:paraId="2B411618" w14:textId="77777777" w:rsidR="008D15F0" w:rsidRPr="00305AEB" w:rsidRDefault="008D15F0" w:rsidP="00186726">
      <w:pPr>
        <w:numPr>
          <w:ilvl w:val="0"/>
          <w:numId w:val="1"/>
        </w:numPr>
        <w:tabs>
          <w:tab w:val="left" w:pos="709"/>
          <w:tab w:val="right" w:pos="8080"/>
        </w:tabs>
        <w:rPr>
          <w:rFonts w:cs="Tahoma"/>
          <w:szCs w:val="20"/>
        </w:rPr>
      </w:pPr>
      <w:r w:rsidRPr="00305AEB">
        <w:rPr>
          <w:rFonts w:cs="Tahoma"/>
          <w:szCs w:val="20"/>
        </w:rPr>
        <w:t>Legge n. 77 del 1983</w:t>
      </w:r>
    </w:p>
    <w:p w14:paraId="59D35147" w14:textId="5B52CD05" w:rsidR="00E74279" w:rsidRPr="007214C7" w:rsidRDefault="008D15F0" w:rsidP="007214C7">
      <w:pPr>
        <w:numPr>
          <w:ilvl w:val="0"/>
          <w:numId w:val="1"/>
        </w:numPr>
        <w:tabs>
          <w:tab w:val="left" w:pos="709"/>
          <w:tab w:val="right" w:pos="8080"/>
        </w:tabs>
        <w:rPr>
          <w:rFonts w:cs="Tahoma"/>
          <w:szCs w:val="20"/>
        </w:rPr>
      </w:pPr>
      <w:r w:rsidRPr="00305AEB">
        <w:rPr>
          <w:rFonts w:cs="Tahoma"/>
          <w:szCs w:val="20"/>
        </w:rPr>
        <w:t>D.P.R. 600 del 1973</w:t>
      </w:r>
      <w:r w:rsidR="00E74279" w:rsidRPr="007214C7">
        <w:rPr>
          <w:rFonts w:cs="Tahoma"/>
        </w:rPr>
        <w:br w:type="page"/>
      </w:r>
    </w:p>
    <w:p w14:paraId="4BC3D41C" w14:textId="714E099A" w:rsidR="008D15F0" w:rsidRPr="00305AEB" w:rsidRDefault="008D15F0" w:rsidP="00186726">
      <w:pPr>
        <w:pStyle w:val="Sottotitolo"/>
        <w:rPr>
          <w:rFonts w:cs="Tahoma"/>
          <w:spacing w:val="0"/>
        </w:rPr>
      </w:pPr>
      <w:bookmarkStart w:id="184" w:name="_Toc161933243"/>
      <w:r w:rsidRPr="00305AEB">
        <w:rPr>
          <w:rFonts w:cs="Tahoma"/>
          <w:spacing w:val="0"/>
        </w:rPr>
        <w:lastRenderedPageBreak/>
        <w:t>Prassi</w:t>
      </w:r>
      <w:bookmarkEnd w:id="184"/>
    </w:p>
    <w:p w14:paraId="6AB83583" w14:textId="4F391511" w:rsidR="00DB7586" w:rsidRPr="00305AEB" w:rsidRDefault="00DB7586" w:rsidP="00186726">
      <w:pPr>
        <w:numPr>
          <w:ilvl w:val="0"/>
          <w:numId w:val="1"/>
        </w:numPr>
        <w:tabs>
          <w:tab w:val="left" w:pos="709"/>
          <w:tab w:val="right" w:pos="8080"/>
        </w:tabs>
        <w:rPr>
          <w:rFonts w:cs="Tahoma"/>
          <w:szCs w:val="20"/>
        </w:rPr>
      </w:pPr>
      <w:r w:rsidRPr="00305AEB">
        <w:rPr>
          <w:rFonts w:cs="Tahoma"/>
          <w:szCs w:val="20"/>
        </w:rPr>
        <w:t>Risposta interpello n. 626 del 2021</w:t>
      </w:r>
    </w:p>
    <w:p w14:paraId="5BEA18FF" w14:textId="41A0E12F" w:rsidR="00DB7586" w:rsidRPr="00305AEB" w:rsidRDefault="00DB7586" w:rsidP="00186726">
      <w:pPr>
        <w:numPr>
          <w:ilvl w:val="0"/>
          <w:numId w:val="1"/>
        </w:numPr>
        <w:tabs>
          <w:tab w:val="left" w:pos="709"/>
          <w:tab w:val="right" w:pos="8080"/>
        </w:tabs>
        <w:rPr>
          <w:rFonts w:cs="Tahoma"/>
          <w:szCs w:val="20"/>
        </w:rPr>
      </w:pPr>
      <w:r w:rsidRPr="00305AEB">
        <w:rPr>
          <w:rFonts w:cs="Tahoma"/>
          <w:szCs w:val="20"/>
        </w:rPr>
        <w:t>Risposta interpello n. 590 del 2021</w:t>
      </w:r>
    </w:p>
    <w:p w14:paraId="6848975F" w14:textId="740D5953" w:rsidR="00EF4286" w:rsidRPr="00305AEB" w:rsidRDefault="00EF4286" w:rsidP="00186726">
      <w:pPr>
        <w:numPr>
          <w:ilvl w:val="0"/>
          <w:numId w:val="1"/>
        </w:numPr>
        <w:tabs>
          <w:tab w:val="left" w:pos="709"/>
          <w:tab w:val="right" w:pos="8080"/>
        </w:tabs>
        <w:rPr>
          <w:rFonts w:cs="Tahoma"/>
          <w:szCs w:val="20"/>
        </w:rPr>
      </w:pPr>
      <w:r w:rsidRPr="00305AEB">
        <w:rPr>
          <w:rFonts w:cs="Tahoma"/>
          <w:szCs w:val="20"/>
        </w:rPr>
        <w:t>Risposta interpello n. 458 del 2021</w:t>
      </w:r>
    </w:p>
    <w:p w14:paraId="3F28A97B" w14:textId="699D364D" w:rsidR="00DB7586" w:rsidRPr="00305AEB" w:rsidRDefault="00DB7586" w:rsidP="00186726">
      <w:pPr>
        <w:numPr>
          <w:ilvl w:val="0"/>
          <w:numId w:val="1"/>
        </w:numPr>
        <w:tabs>
          <w:tab w:val="left" w:pos="709"/>
          <w:tab w:val="right" w:pos="8080"/>
        </w:tabs>
        <w:rPr>
          <w:rFonts w:cs="Tahoma"/>
          <w:szCs w:val="20"/>
        </w:rPr>
      </w:pPr>
      <w:r w:rsidRPr="00305AEB">
        <w:rPr>
          <w:rFonts w:cs="Tahoma"/>
          <w:szCs w:val="20"/>
        </w:rPr>
        <w:t>Risposta interpello n. 345 del 2021</w:t>
      </w:r>
    </w:p>
    <w:p w14:paraId="32AD103D" w14:textId="5D06C88C" w:rsidR="008D15F0" w:rsidRPr="00305AEB" w:rsidRDefault="008D15F0" w:rsidP="00186726">
      <w:pPr>
        <w:numPr>
          <w:ilvl w:val="0"/>
          <w:numId w:val="1"/>
        </w:numPr>
        <w:tabs>
          <w:tab w:val="left" w:pos="709"/>
          <w:tab w:val="right" w:pos="8080"/>
        </w:tabs>
        <w:rPr>
          <w:rFonts w:cs="Tahoma"/>
          <w:szCs w:val="20"/>
        </w:rPr>
      </w:pPr>
      <w:r w:rsidRPr="00305AEB">
        <w:rPr>
          <w:rFonts w:cs="Tahoma"/>
          <w:szCs w:val="20"/>
        </w:rPr>
        <w:t>Risposta interpello n. 384 del 2019</w:t>
      </w:r>
    </w:p>
    <w:p w14:paraId="3454B460" w14:textId="77777777" w:rsidR="008D15F0" w:rsidRPr="00305AEB" w:rsidRDefault="008D15F0" w:rsidP="00186726">
      <w:pPr>
        <w:numPr>
          <w:ilvl w:val="0"/>
          <w:numId w:val="1"/>
        </w:numPr>
        <w:tabs>
          <w:tab w:val="left" w:pos="709"/>
          <w:tab w:val="right" w:pos="8080"/>
        </w:tabs>
        <w:rPr>
          <w:rFonts w:cs="Tahoma"/>
          <w:szCs w:val="20"/>
        </w:rPr>
      </w:pPr>
      <w:r w:rsidRPr="00305AEB">
        <w:rPr>
          <w:rFonts w:cs="Tahoma"/>
          <w:szCs w:val="20"/>
        </w:rPr>
        <w:t>R.M. n. 61/E del 2019</w:t>
      </w:r>
    </w:p>
    <w:p w14:paraId="309893E7" w14:textId="77777777" w:rsidR="008D15F0" w:rsidRPr="00305AEB" w:rsidRDefault="008D15F0" w:rsidP="00186726">
      <w:pPr>
        <w:numPr>
          <w:ilvl w:val="0"/>
          <w:numId w:val="1"/>
        </w:numPr>
        <w:tabs>
          <w:tab w:val="left" w:pos="709"/>
          <w:tab w:val="right" w:pos="8080"/>
        </w:tabs>
        <w:rPr>
          <w:rFonts w:cs="Tahoma"/>
          <w:szCs w:val="20"/>
        </w:rPr>
      </w:pPr>
      <w:r w:rsidRPr="00305AEB">
        <w:rPr>
          <w:rFonts w:cs="Tahoma"/>
          <w:szCs w:val="20"/>
        </w:rPr>
        <w:t>Risp. Interpello Agenzia Entrate n. 25 del 2018</w:t>
      </w:r>
    </w:p>
    <w:p w14:paraId="686ED444" w14:textId="77777777" w:rsidR="008D15F0" w:rsidRPr="00305AEB" w:rsidRDefault="008D15F0" w:rsidP="00186726">
      <w:pPr>
        <w:numPr>
          <w:ilvl w:val="0"/>
          <w:numId w:val="1"/>
        </w:numPr>
        <w:tabs>
          <w:tab w:val="left" w:pos="709"/>
          <w:tab w:val="right" w:pos="8080"/>
        </w:tabs>
        <w:rPr>
          <w:rFonts w:cs="Tahoma"/>
          <w:szCs w:val="20"/>
        </w:rPr>
      </w:pPr>
      <w:r w:rsidRPr="00305AEB">
        <w:rPr>
          <w:rFonts w:cs="Tahoma"/>
          <w:szCs w:val="20"/>
        </w:rPr>
        <w:t>Principio di diritto Agenzia Entrate n. 20 del 2008</w:t>
      </w:r>
    </w:p>
    <w:p w14:paraId="7ED21C40" w14:textId="77777777" w:rsidR="008D15F0" w:rsidRPr="00305AEB" w:rsidRDefault="008D15F0" w:rsidP="00186726">
      <w:pPr>
        <w:numPr>
          <w:ilvl w:val="0"/>
          <w:numId w:val="1"/>
        </w:numPr>
        <w:tabs>
          <w:tab w:val="left" w:pos="709"/>
          <w:tab w:val="right" w:pos="8080"/>
        </w:tabs>
        <w:rPr>
          <w:rFonts w:cs="Tahoma"/>
          <w:szCs w:val="20"/>
        </w:rPr>
      </w:pPr>
      <w:proofErr w:type="spellStart"/>
      <w:r w:rsidRPr="00305AEB">
        <w:rPr>
          <w:rFonts w:cs="Tahoma"/>
          <w:szCs w:val="20"/>
        </w:rPr>
        <w:t>Provv</w:t>
      </w:r>
      <w:proofErr w:type="spellEnd"/>
      <w:r w:rsidRPr="00305AEB">
        <w:rPr>
          <w:rFonts w:cs="Tahoma"/>
          <w:szCs w:val="20"/>
        </w:rPr>
        <w:t>. Agenzia Entrate n. 43999 del 2017</w:t>
      </w:r>
    </w:p>
    <w:p w14:paraId="5D92C480" w14:textId="77777777" w:rsidR="008D15F0" w:rsidRPr="00305AEB" w:rsidRDefault="008D15F0" w:rsidP="00186726">
      <w:pPr>
        <w:numPr>
          <w:ilvl w:val="0"/>
          <w:numId w:val="1"/>
        </w:numPr>
        <w:tabs>
          <w:tab w:val="left" w:pos="709"/>
          <w:tab w:val="right" w:pos="8080"/>
        </w:tabs>
        <w:rPr>
          <w:rFonts w:cs="Tahoma"/>
          <w:szCs w:val="20"/>
        </w:rPr>
      </w:pPr>
      <w:proofErr w:type="spellStart"/>
      <w:r w:rsidRPr="00305AEB">
        <w:rPr>
          <w:rFonts w:cs="Tahoma"/>
          <w:szCs w:val="20"/>
        </w:rPr>
        <w:t>Provv</w:t>
      </w:r>
      <w:proofErr w:type="spellEnd"/>
      <w:r w:rsidRPr="00305AEB">
        <w:rPr>
          <w:rFonts w:cs="Tahoma"/>
          <w:szCs w:val="20"/>
        </w:rPr>
        <w:t>. Agenzia Entrate n. 47060 del 2017</w:t>
      </w:r>
    </w:p>
    <w:p w14:paraId="62894913" w14:textId="77777777" w:rsidR="008D15F0" w:rsidRPr="00305AEB" w:rsidRDefault="008D15F0" w:rsidP="00186726">
      <w:pPr>
        <w:numPr>
          <w:ilvl w:val="0"/>
          <w:numId w:val="1"/>
        </w:numPr>
        <w:tabs>
          <w:tab w:val="left" w:pos="709"/>
          <w:tab w:val="right" w:pos="8080"/>
        </w:tabs>
        <w:rPr>
          <w:rFonts w:cs="Tahoma"/>
          <w:szCs w:val="20"/>
        </w:rPr>
      </w:pPr>
      <w:r w:rsidRPr="00305AEB">
        <w:rPr>
          <w:rFonts w:cs="Tahoma"/>
          <w:szCs w:val="20"/>
        </w:rPr>
        <w:t>R.M. n. 38/E del 2017</w:t>
      </w:r>
    </w:p>
    <w:p w14:paraId="47C5514B" w14:textId="77777777" w:rsidR="008D15F0" w:rsidRPr="00305AEB" w:rsidRDefault="008D15F0" w:rsidP="00186726">
      <w:pPr>
        <w:numPr>
          <w:ilvl w:val="0"/>
          <w:numId w:val="1"/>
        </w:numPr>
        <w:tabs>
          <w:tab w:val="left" w:pos="709"/>
          <w:tab w:val="right" w:pos="8080"/>
        </w:tabs>
        <w:rPr>
          <w:rFonts w:cs="Tahoma"/>
          <w:szCs w:val="20"/>
        </w:rPr>
      </w:pPr>
      <w:r w:rsidRPr="00305AEB">
        <w:rPr>
          <w:rFonts w:cs="Tahoma"/>
          <w:szCs w:val="20"/>
        </w:rPr>
        <w:t>R.M. n. 77/E del 2016</w:t>
      </w:r>
    </w:p>
    <w:p w14:paraId="77CC7998" w14:textId="77777777" w:rsidR="008D15F0" w:rsidRPr="00305AEB" w:rsidRDefault="008D15F0" w:rsidP="00186726">
      <w:pPr>
        <w:numPr>
          <w:ilvl w:val="0"/>
          <w:numId w:val="1"/>
        </w:numPr>
        <w:tabs>
          <w:tab w:val="left" w:pos="709"/>
          <w:tab w:val="right" w:pos="8080"/>
        </w:tabs>
        <w:rPr>
          <w:rFonts w:cs="Tahoma"/>
          <w:szCs w:val="20"/>
        </w:rPr>
      </w:pPr>
      <w:r w:rsidRPr="00305AEB">
        <w:rPr>
          <w:rFonts w:cs="Tahoma"/>
          <w:szCs w:val="20"/>
        </w:rPr>
        <w:t>C.M. n. 35/E del 2016</w:t>
      </w:r>
    </w:p>
    <w:p w14:paraId="7A61A3C4" w14:textId="77777777" w:rsidR="008D15F0" w:rsidRPr="00305AEB" w:rsidRDefault="008D15F0" w:rsidP="00186726">
      <w:pPr>
        <w:numPr>
          <w:ilvl w:val="0"/>
          <w:numId w:val="1"/>
        </w:numPr>
        <w:tabs>
          <w:tab w:val="left" w:pos="709"/>
          <w:tab w:val="right" w:pos="8080"/>
        </w:tabs>
        <w:rPr>
          <w:rFonts w:cs="Tahoma"/>
          <w:szCs w:val="20"/>
        </w:rPr>
      </w:pPr>
      <w:r w:rsidRPr="00305AEB">
        <w:rPr>
          <w:rFonts w:cs="Tahoma"/>
          <w:szCs w:val="20"/>
        </w:rPr>
        <w:t>C.M. n. 9/E del 2015</w:t>
      </w:r>
    </w:p>
    <w:p w14:paraId="0ED4979C" w14:textId="77777777" w:rsidR="008D15F0" w:rsidRPr="00305AEB" w:rsidRDefault="008D15F0" w:rsidP="00186726">
      <w:pPr>
        <w:numPr>
          <w:ilvl w:val="0"/>
          <w:numId w:val="1"/>
        </w:numPr>
        <w:tabs>
          <w:tab w:val="left" w:pos="709"/>
          <w:tab w:val="right" w:pos="8080"/>
        </w:tabs>
        <w:rPr>
          <w:rFonts w:cs="Tahoma"/>
          <w:szCs w:val="20"/>
        </w:rPr>
      </w:pPr>
      <w:r w:rsidRPr="00305AEB">
        <w:rPr>
          <w:rFonts w:cs="Tahoma"/>
          <w:szCs w:val="20"/>
        </w:rPr>
        <w:t>C.M. n. 11/E del 2014</w:t>
      </w:r>
    </w:p>
    <w:p w14:paraId="0CC8E376" w14:textId="77777777" w:rsidR="008D15F0" w:rsidRPr="00305AEB" w:rsidRDefault="008D15F0" w:rsidP="00186726">
      <w:pPr>
        <w:numPr>
          <w:ilvl w:val="0"/>
          <w:numId w:val="1"/>
        </w:numPr>
        <w:tabs>
          <w:tab w:val="left" w:pos="709"/>
          <w:tab w:val="right" w:pos="8080"/>
        </w:tabs>
        <w:rPr>
          <w:rFonts w:cs="Tahoma"/>
          <w:szCs w:val="20"/>
        </w:rPr>
      </w:pPr>
      <w:proofErr w:type="spellStart"/>
      <w:r w:rsidRPr="00305AEB">
        <w:rPr>
          <w:rFonts w:cs="Tahoma"/>
          <w:szCs w:val="20"/>
        </w:rPr>
        <w:t>Provv</w:t>
      </w:r>
      <w:proofErr w:type="spellEnd"/>
      <w:r w:rsidRPr="00305AEB">
        <w:rPr>
          <w:rFonts w:cs="Tahoma"/>
          <w:szCs w:val="20"/>
        </w:rPr>
        <w:t>. n. 151663 del 2013</w:t>
      </w:r>
    </w:p>
    <w:p w14:paraId="11CAEAA8" w14:textId="77777777" w:rsidR="008D15F0" w:rsidRPr="00305AEB" w:rsidRDefault="008D15F0" w:rsidP="00186726">
      <w:pPr>
        <w:numPr>
          <w:ilvl w:val="0"/>
          <w:numId w:val="1"/>
        </w:numPr>
        <w:tabs>
          <w:tab w:val="left" w:pos="709"/>
          <w:tab w:val="right" w:pos="8080"/>
        </w:tabs>
        <w:rPr>
          <w:rFonts w:cs="Tahoma"/>
          <w:szCs w:val="20"/>
        </w:rPr>
      </w:pPr>
      <w:r w:rsidRPr="00305AEB">
        <w:rPr>
          <w:rFonts w:cs="Tahoma"/>
          <w:szCs w:val="20"/>
        </w:rPr>
        <w:t>C.M. n. 38/E del 2013</w:t>
      </w:r>
    </w:p>
    <w:p w14:paraId="3098D8C5" w14:textId="77777777" w:rsidR="008D15F0" w:rsidRPr="00305AEB" w:rsidRDefault="008D15F0" w:rsidP="00186726">
      <w:pPr>
        <w:numPr>
          <w:ilvl w:val="0"/>
          <w:numId w:val="1"/>
        </w:numPr>
        <w:tabs>
          <w:tab w:val="left" w:pos="709"/>
          <w:tab w:val="right" w:pos="8080"/>
        </w:tabs>
        <w:rPr>
          <w:rFonts w:cs="Tahoma"/>
          <w:szCs w:val="20"/>
        </w:rPr>
      </w:pPr>
      <w:r w:rsidRPr="00305AEB">
        <w:rPr>
          <w:rFonts w:cs="Tahoma"/>
          <w:szCs w:val="20"/>
        </w:rPr>
        <w:t>C.M. n. 13/E del 2013</w:t>
      </w:r>
    </w:p>
    <w:p w14:paraId="72C0B7B5" w14:textId="77777777" w:rsidR="008D15F0" w:rsidRPr="00305AEB" w:rsidRDefault="008D15F0" w:rsidP="00186726">
      <w:pPr>
        <w:numPr>
          <w:ilvl w:val="0"/>
          <w:numId w:val="1"/>
        </w:numPr>
        <w:tabs>
          <w:tab w:val="left" w:pos="709"/>
          <w:tab w:val="right" w:pos="8080"/>
        </w:tabs>
        <w:rPr>
          <w:rFonts w:cs="Tahoma"/>
          <w:szCs w:val="20"/>
        </w:rPr>
      </w:pPr>
      <w:r w:rsidRPr="00305AEB">
        <w:rPr>
          <w:rFonts w:cs="Tahoma"/>
          <w:szCs w:val="20"/>
        </w:rPr>
        <w:t>C.M. n. 28/E del 2012</w:t>
      </w:r>
    </w:p>
    <w:p w14:paraId="66549928" w14:textId="77777777" w:rsidR="008D15F0" w:rsidRPr="00305AEB" w:rsidRDefault="008D15F0" w:rsidP="00186726">
      <w:pPr>
        <w:numPr>
          <w:ilvl w:val="0"/>
          <w:numId w:val="1"/>
        </w:numPr>
        <w:tabs>
          <w:tab w:val="left" w:pos="709"/>
          <w:tab w:val="right" w:pos="8080"/>
        </w:tabs>
        <w:rPr>
          <w:rFonts w:cs="Tahoma"/>
          <w:szCs w:val="20"/>
        </w:rPr>
      </w:pPr>
      <w:r w:rsidRPr="00305AEB">
        <w:rPr>
          <w:rFonts w:cs="Tahoma"/>
          <w:szCs w:val="20"/>
        </w:rPr>
        <w:t>C.M. n. 45/E del 2010</w:t>
      </w:r>
    </w:p>
    <w:p w14:paraId="56847DDA" w14:textId="77777777" w:rsidR="008D15F0" w:rsidRPr="00305AEB" w:rsidRDefault="008D15F0" w:rsidP="00186726">
      <w:pPr>
        <w:numPr>
          <w:ilvl w:val="0"/>
          <w:numId w:val="1"/>
        </w:numPr>
        <w:tabs>
          <w:tab w:val="left" w:pos="709"/>
          <w:tab w:val="right" w:pos="8080"/>
        </w:tabs>
        <w:rPr>
          <w:rFonts w:cs="Tahoma"/>
          <w:szCs w:val="20"/>
        </w:rPr>
      </w:pPr>
      <w:r w:rsidRPr="00305AEB">
        <w:rPr>
          <w:rFonts w:cs="Tahoma"/>
          <w:szCs w:val="20"/>
        </w:rPr>
        <w:t>C.M. n. 51/e del 2010</w:t>
      </w:r>
    </w:p>
    <w:p w14:paraId="33DD0ABC" w14:textId="77777777" w:rsidR="008D15F0" w:rsidRPr="00305AEB" w:rsidRDefault="008D15F0" w:rsidP="00186726">
      <w:pPr>
        <w:numPr>
          <w:ilvl w:val="0"/>
          <w:numId w:val="1"/>
        </w:numPr>
        <w:tabs>
          <w:tab w:val="left" w:pos="709"/>
          <w:tab w:val="right" w:pos="8080"/>
        </w:tabs>
        <w:rPr>
          <w:rFonts w:cs="Tahoma"/>
          <w:szCs w:val="20"/>
        </w:rPr>
      </w:pPr>
      <w:r w:rsidRPr="00305AEB">
        <w:rPr>
          <w:rFonts w:cs="Tahoma"/>
          <w:szCs w:val="20"/>
        </w:rPr>
        <w:t>C.M. n. 43/E del 2009</w:t>
      </w:r>
    </w:p>
    <w:p w14:paraId="41F18F69" w14:textId="77777777" w:rsidR="008D15F0" w:rsidRPr="00305AEB" w:rsidRDefault="008D15F0" w:rsidP="00186726">
      <w:pPr>
        <w:numPr>
          <w:ilvl w:val="0"/>
          <w:numId w:val="1"/>
        </w:numPr>
        <w:tabs>
          <w:tab w:val="left" w:pos="709"/>
          <w:tab w:val="right" w:pos="8080"/>
        </w:tabs>
        <w:rPr>
          <w:rFonts w:cs="Tahoma"/>
          <w:szCs w:val="20"/>
        </w:rPr>
      </w:pPr>
      <w:r w:rsidRPr="00305AEB">
        <w:rPr>
          <w:rFonts w:cs="Tahoma"/>
          <w:szCs w:val="20"/>
        </w:rPr>
        <w:lastRenderedPageBreak/>
        <w:t>R.M. n. 412/E del 2008</w:t>
      </w:r>
    </w:p>
    <w:p w14:paraId="6B178310" w14:textId="77777777" w:rsidR="008D15F0" w:rsidRPr="00305AEB" w:rsidRDefault="008D15F0" w:rsidP="00186726">
      <w:pPr>
        <w:numPr>
          <w:ilvl w:val="0"/>
          <w:numId w:val="1"/>
        </w:numPr>
        <w:tabs>
          <w:tab w:val="left" w:pos="709"/>
          <w:tab w:val="right" w:pos="8080"/>
        </w:tabs>
        <w:rPr>
          <w:rFonts w:cs="Tahoma"/>
          <w:szCs w:val="20"/>
        </w:rPr>
      </w:pPr>
      <w:r w:rsidRPr="00305AEB">
        <w:rPr>
          <w:rFonts w:cs="Tahoma"/>
          <w:szCs w:val="20"/>
        </w:rPr>
        <w:t>R.M. n. 341/E del 2008</w:t>
      </w:r>
    </w:p>
    <w:p w14:paraId="000BE771" w14:textId="77777777" w:rsidR="008D15F0" w:rsidRPr="00305AEB" w:rsidRDefault="008D15F0" w:rsidP="00186726">
      <w:pPr>
        <w:numPr>
          <w:ilvl w:val="0"/>
          <w:numId w:val="1"/>
        </w:numPr>
        <w:tabs>
          <w:tab w:val="left" w:pos="709"/>
          <w:tab w:val="right" w:pos="8080"/>
        </w:tabs>
        <w:rPr>
          <w:rFonts w:cs="Tahoma"/>
          <w:szCs w:val="20"/>
        </w:rPr>
      </w:pPr>
      <w:r w:rsidRPr="00305AEB">
        <w:rPr>
          <w:rFonts w:cs="Tahoma"/>
          <w:szCs w:val="20"/>
        </w:rPr>
        <w:t>R.M. n. 245/E del 2007</w:t>
      </w:r>
    </w:p>
    <w:p w14:paraId="63BA7972" w14:textId="77777777" w:rsidR="008D15F0" w:rsidRPr="00305AEB" w:rsidRDefault="008D15F0" w:rsidP="00186726">
      <w:pPr>
        <w:numPr>
          <w:ilvl w:val="0"/>
          <w:numId w:val="1"/>
        </w:numPr>
        <w:tabs>
          <w:tab w:val="left" w:pos="709"/>
          <w:tab w:val="right" w:pos="8080"/>
        </w:tabs>
        <w:rPr>
          <w:rFonts w:cs="Tahoma"/>
          <w:szCs w:val="20"/>
        </w:rPr>
      </w:pPr>
      <w:r w:rsidRPr="00305AEB">
        <w:rPr>
          <w:rFonts w:cs="Tahoma"/>
          <w:szCs w:val="20"/>
        </w:rPr>
        <w:t>C.M. n. 2/E del 2003</w:t>
      </w:r>
    </w:p>
    <w:p w14:paraId="03D1E861" w14:textId="77777777" w:rsidR="008D15F0" w:rsidRPr="00305AEB" w:rsidRDefault="008D15F0" w:rsidP="00186726">
      <w:pPr>
        <w:numPr>
          <w:ilvl w:val="0"/>
          <w:numId w:val="1"/>
        </w:numPr>
        <w:tabs>
          <w:tab w:val="left" w:pos="709"/>
          <w:tab w:val="right" w:pos="8080"/>
        </w:tabs>
        <w:rPr>
          <w:rFonts w:cs="Tahoma"/>
          <w:szCs w:val="20"/>
        </w:rPr>
      </w:pPr>
      <w:r w:rsidRPr="00305AEB">
        <w:rPr>
          <w:rFonts w:cs="Tahoma"/>
          <w:szCs w:val="20"/>
        </w:rPr>
        <w:t>R.M. n. 134 del 2002</w:t>
      </w:r>
    </w:p>
    <w:p w14:paraId="26CC89D0" w14:textId="77777777" w:rsidR="008D15F0" w:rsidRPr="00305AEB" w:rsidRDefault="008D15F0" w:rsidP="00186726">
      <w:pPr>
        <w:numPr>
          <w:ilvl w:val="0"/>
          <w:numId w:val="1"/>
        </w:numPr>
        <w:tabs>
          <w:tab w:val="left" w:pos="709"/>
          <w:tab w:val="right" w:pos="8080"/>
        </w:tabs>
        <w:rPr>
          <w:rFonts w:cs="Tahoma"/>
          <w:szCs w:val="20"/>
        </w:rPr>
      </w:pPr>
      <w:r w:rsidRPr="00305AEB">
        <w:rPr>
          <w:rFonts w:cs="Tahoma"/>
          <w:szCs w:val="20"/>
        </w:rPr>
        <w:t>C.M. n. 85/E del 2001</w:t>
      </w:r>
    </w:p>
    <w:p w14:paraId="0FCFA95D" w14:textId="77777777" w:rsidR="008D15F0" w:rsidRPr="00305AEB" w:rsidRDefault="008D15F0" w:rsidP="00186726">
      <w:pPr>
        <w:numPr>
          <w:ilvl w:val="0"/>
          <w:numId w:val="1"/>
        </w:numPr>
        <w:tabs>
          <w:tab w:val="left" w:pos="709"/>
          <w:tab w:val="right" w:pos="8080"/>
        </w:tabs>
        <w:rPr>
          <w:rFonts w:cs="Tahoma"/>
          <w:szCs w:val="20"/>
        </w:rPr>
      </w:pPr>
      <w:r w:rsidRPr="00305AEB">
        <w:rPr>
          <w:rFonts w:cs="Tahoma"/>
          <w:szCs w:val="20"/>
        </w:rPr>
        <w:t>C.M. n. 9/E del 2001</w:t>
      </w:r>
    </w:p>
    <w:p w14:paraId="2CA0FC20" w14:textId="77777777" w:rsidR="008D15F0" w:rsidRPr="00305AEB" w:rsidRDefault="008D15F0" w:rsidP="00186726">
      <w:pPr>
        <w:numPr>
          <w:ilvl w:val="0"/>
          <w:numId w:val="1"/>
        </w:numPr>
        <w:tabs>
          <w:tab w:val="left" w:pos="709"/>
          <w:tab w:val="right" w:pos="8080"/>
        </w:tabs>
        <w:rPr>
          <w:rFonts w:cs="Tahoma"/>
          <w:szCs w:val="20"/>
        </w:rPr>
      </w:pPr>
      <w:r w:rsidRPr="00305AEB">
        <w:rPr>
          <w:rFonts w:cs="Tahoma"/>
          <w:szCs w:val="20"/>
        </w:rPr>
        <w:t>C.M. n. 207/E del 2000</w:t>
      </w:r>
    </w:p>
    <w:p w14:paraId="36F518F7" w14:textId="77777777" w:rsidR="008D15F0" w:rsidRPr="00305AEB" w:rsidRDefault="008D15F0" w:rsidP="00186726">
      <w:pPr>
        <w:numPr>
          <w:ilvl w:val="0"/>
          <w:numId w:val="1"/>
        </w:numPr>
        <w:tabs>
          <w:tab w:val="left" w:pos="709"/>
          <w:tab w:val="right" w:pos="8080"/>
        </w:tabs>
        <w:rPr>
          <w:rFonts w:cs="Tahoma"/>
          <w:szCs w:val="20"/>
        </w:rPr>
      </w:pPr>
      <w:r w:rsidRPr="00305AEB">
        <w:rPr>
          <w:rFonts w:cs="Tahoma"/>
          <w:szCs w:val="20"/>
        </w:rPr>
        <w:t>C.M. n. 140/E del 1999</w:t>
      </w:r>
    </w:p>
    <w:p w14:paraId="73CB7E30" w14:textId="77777777" w:rsidR="008D15F0" w:rsidRPr="00305AEB" w:rsidRDefault="008D15F0" w:rsidP="00186726">
      <w:pPr>
        <w:numPr>
          <w:ilvl w:val="0"/>
          <w:numId w:val="1"/>
        </w:numPr>
        <w:tabs>
          <w:tab w:val="left" w:pos="709"/>
          <w:tab w:val="right" w:pos="8080"/>
        </w:tabs>
        <w:rPr>
          <w:rFonts w:cs="Tahoma"/>
          <w:szCs w:val="20"/>
        </w:rPr>
      </w:pPr>
      <w:r w:rsidRPr="00305AEB">
        <w:rPr>
          <w:rFonts w:cs="Tahoma"/>
          <w:szCs w:val="20"/>
        </w:rPr>
        <w:t>C.M n. 304/E del 1997</w:t>
      </w:r>
    </w:p>
    <w:p w14:paraId="60B4FC0F" w14:textId="77777777" w:rsidR="008D15F0" w:rsidRPr="00305AEB" w:rsidRDefault="008D15F0" w:rsidP="00186726">
      <w:pPr>
        <w:numPr>
          <w:ilvl w:val="0"/>
          <w:numId w:val="1"/>
        </w:numPr>
        <w:tabs>
          <w:tab w:val="left" w:pos="709"/>
          <w:tab w:val="right" w:pos="8080"/>
        </w:tabs>
        <w:rPr>
          <w:rFonts w:cs="Tahoma"/>
          <w:szCs w:val="20"/>
        </w:rPr>
      </w:pPr>
      <w:r w:rsidRPr="00305AEB">
        <w:rPr>
          <w:rFonts w:cs="Tahoma"/>
          <w:szCs w:val="20"/>
        </w:rPr>
        <w:t>C.M. n. 201/E del 1996</w:t>
      </w:r>
    </w:p>
    <w:p w14:paraId="1A36B8C6" w14:textId="77777777" w:rsidR="008D15F0" w:rsidRPr="0069364A" w:rsidRDefault="008D15F0" w:rsidP="00186726">
      <w:pPr>
        <w:tabs>
          <w:tab w:val="left" w:pos="709"/>
          <w:tab w:val="right" w:pos="8080"/>
        </w:tabs>
        <w:rPr>
          <w:rFonts w:cs="Tahoma"/>
          <w:szCs w:val="20"/>
        </w:rPr>
      </w:pPr>
    </w:p>
    <w:p w14:paraId="405B37EE" w14:textId="77777777" w:rsidR="008D15F0" w:rsidRPr="0069364A" w:rsidRDefault="008D15F0" w:rsidP="00186726">
      <w:pPr>
        <w:rPr>
          <w:rFonts w:cs="Tahoma"/>
        </w:rPr>
      </w:pPr>
    </w:p>
    <w:p w14:paraId="067D818D" w14:textId="77777777" w:rsidR="008D15F0" w:rsidRPr="0069364A" w:rsidRDefault="008D15F0" w:rsidP="00186726">
      <w:pPr>
        <w:rPr>
          <w:rFonts w:cs="Tahoma"/>
        </w:rPr>
      </w:pPr>
    </w:p>
    <w:p w14:paraId="17DFBAC4" w14:textId="77777777" w:rsidR="00E5642A" w:rsidRPr="0069364A" w:rsidRDefault="00E5642A" w:rsidP="00186726">
      <w:pPr>
        <w:rPr>
          <w:rFonts w:cs="Tahoma"/>
        </w:rPr>
      </w:pPr>
    </w:p>
    <w:sectPr w:rsidR="00E5642A" w:rsidRPr="0069364A" w:rsidSect="00471E5B">
      <w:pgSz w:w="11906" w:h="16838" w:code="9"/>
      <w:pgMar w:top="1418" w:right="1418" w:bottom="510" w:left="1276" w:header="709" w:footer="567" w:gutter="0"/>
      <w:pgNumType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1E6A79" w14:textId="77777777" w:rsidR="00471E5B" w:rsidRDefault="00471E5B" w:rsidP="008D15F0">
      <w:r>
        <w:separator/>
      </w:r>
    </w:p>
  </w:endnote>
  <w:endnote w:type="continuationSeparator" w:id="0">
    <w:p w14:paraId="03A9E59E" w14:textId="77777777" w:rsidR="00471E5B" w:rsidRDefault="00471E5B" w:rsidP="008D15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swiss"/>
    <w:pitch w:val="variable"/>
    <w:sig w:usb0="E1000AEF" w:usb1="5000A1FF" w:usb2="00000000" w:usb3="00000000" w:csb0="000001BF" w:csb1="00000000"/>
  </w:font>
  <w:font w:name="Minion Pro">
    <w:panose1 w:val="02040503050201020203"/>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B4B0A" w14:textId="77777777" w:rsidR="007630E9" w:rsidRDefault="007630E9" w:rsidP="0069364A">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2</w:t>
    </w:r>
    <w:r>
      <w:rPr>
        <w:rStyle w:val="Numeropagina"/>
      </w:rPr>
      <w:fldChar w:fldCharType="end"/>
    </w:r>
  </w:p>
  <w:p w14:paraId="636A8E48" w14:textId="77777777" w:rsidR="007630E9" w:rsidRDefault="007630E9" w:rsidP="0069364A">
    <w:pPr>
      <w:pStyle w:val="Pidipagina"/>
      <w:ind w:right="360"/>
    </w:pPr>
  </w:p>
  <w:p w14:paraId="09E13D39" w14:textId="77777777" w:rsidR="007630E9" w:rsidRDefault="007630E9">
    <w:pPr>
      <w:pStyle w:val="Pidipagina"/>
    </w:pPr>
  </w:p>
  <w:p w14:paraId="20F657C0" w14:textId="77777777" w:rsidR="007630E9" w:rsidRDefault="007630E9"/>
  <w:p w14:paraId="25912264" w14:textId="77777777" w:rsidR="007630E9" w:rsidRDefault="007630E9"/>
  <w:p w14:paraId="4BE10E4D" w14:textId="77777777" w:rsidR="007630E9" w:rsidRDefault="007630E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58" w:type="pct"/>
      <w:tblBorders>
        <w:top w:val="single" w:sz="4" w:space="0" w:color="4F81BD"/>
      </w:tblBorders>
      <w:tblCellMar>
        <w:top w:w="72" w:type="dxa"/>
        <w:left w:w="115" w:type="dxa"/>
        <w:bottom w:w="72" w:type="dxa"/>
        <w:right w:w="115" w:type="dxa"/>
      </w:tblCellMar>
      <w:tblLook w:val="04A0" w:firstRow="1" w:lastRow="0" w:firstColumn="1" w:lastColumn="0" w:noHBand="0" w:noVBand="1"/>
    </w:tblPr>
    <w:tblGrid>
      <w:gridCol w:w="8290"/>
      <w:gridCol w:w="1029"/>
    </w:tblGrid>
    <w:tr w:rsidR="007630E9" w:rsidRPr="003366BE" w14:paraId="1C71AC05" w14:textId="77777777" w:rsidTr="0069364A">
      <w:tc>
        <w:tcPr>
          <w:tcW w:w="4448" w:type="pct"/>
        </w:tcPr>
        <w:p w14:paraId="3CF5270E" w14:textId="77777777" w:rsidR="007630E9" w:rsidRPr="003366BE" w:rsidRDefault="007630E9" w:rsidP="0069364A">
          <w:pPr>
            <w:pStyle w:val="Pidipagina"/>
            <w:jc w:val="right"/>
          </w:pPr>
          <w:r w:rsidRPr="003366BE">
            <w:t>E</w:t>
          </w:r>
          <w:r>
            <w:t>-Book di approfondimento</w:t>
          </w:r>
          <w:r w:rsidRPr="003366BE">
            <w:t>| FISCOeTASSE.com</w:t>
          </w:r>
          <w:r>
            <w:t xml:space="preserve"> </w:t>
          </w:r>
          <w:r w:rsidRPr="009701DB">
            <w:t>©20</w:t>
          </w:r>
          <w:r>
            <w:t xml:space="preserve">20 </w:t>
          </w:r>
        </w:p>
      </w:tc>
      <w:tc>
        <w:tcPr>
          <w:tcW w:w="552" w:type="pct"/>
          <w:shd w:val="clear" w:color="auto" w:fill="4F81BD"/>
        </w:tcPr>
        <w:p w14:paraId="23E828CB" w14:textId="77777777" w:rsidR="007630E9" w:rsidRPr="003366BE" w:rsidRDefault="007630E9" w:rsidP="0069364A">
          <w:pPr>
            <w:pStyle w:val="Intestazione"/>
            <w:tabs>
              <w:tab w:val="center" w:pos="357"/>
              <w:tab w:val="left" w:pos="540"/>
              <w:tab w:val="right" w:pos="714"/>
            </w:tabs>
            <w:rPr>
              <w:b/>
              <w:color w:val="FFFFFF"/>
            </w:rPr>
          </w:pPr>
          <w:r>
            <w:rPr>
              <w:b/>
            </w:rPr>
            <w:tab/>
          </w:r>
          <w:r>
            <w:rPr>
              <w:b/>
            </w:rPr>
            <w:tab/>
          </w:r>
          <w:r>
            <w:rPr>
              <w:b/>
            </w:rPr>
            <w:tab/>
          </w:r>
          <w:r w:rsidRPr="003366BE">
            <w:rPr>
              <w:b/>
            </w:rPr>
            <w:fldChar w:fldCharType="begin"/>
          </w:r>
          <w:r w:rsidRPr="003366BE">
            <w:rPr>
              <w:b/>
            </w:rPr>
            <w:instrText>PAGE   \* MERGEFORMAT</w:instrText>
          </w:r>
          <w:r w:rsidRPr="003366BE">
            <w:rPr>
              <w:b/>
            </w:rPr>
            <w:fldChar w:fldCharType="separate"/>
          </w:r>
          <w:r w:rsidRPr="000167EC">
            <w:rPr>
              <w:b/>
              <w:noProof/>
              <w:color w:val="FFFFFF"/>
            </w:rPr>
            <w:t>2</w:t>
          </w:r>
          <w:r w:rsidRPr="003366BE">
            <w:rPr>
              <w:b/>
              <w:color w:val="FFFFFF"/>
            </w:rPr>
            <w:fldChar w:fldCharType="end"/>
          </w:r>
        </w:p>
      </w:tc>
    </w:tr>
  </w:tbl>
  <w:p w14:paraId="4FE0FF1A" w14:textId="77777777" w:rsidR="007630E9" w:rsidRDefault="007630E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B2F75" w14:textId="77777777" w:rsidR="007630E9" w:rsidRDefault="007630E9">
    <w:pPr>
      <w:pStyle w:val="Pidipagina"/>
    </w:pPr>
  </w:p>
  <w:p w14:paraId="421A9DDE" w14:textId="77777777" w:rsidR="005923A1" w:rsidRDefault="005923A1">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1202F" w14:textId="77777777" w:rsidR="007630E9" w:rsidRDefault="007630E9"/>
  <w:tbl>
    <w:tblPr>
      <w:tblW w:w="9464" w:type="dxa"/>
      <w:tblBorders>
        <w:top w:val="single" w:sz="4" w:space="0" w:color="FF0000"/>
      </w:tblBorders>
      <w:tblLook w:val="04A0" w:firstRow="1" w:lastRow="0" w:firstColumn="1" w:lastColumn="0" w:noHBand="0" w:noVBand="1"/>
    </w:tblPr>
    <w:tblGrid>
      <w:gridCol w:w="9464"/>
    </w:tblGrid>
    <w:tr w:rsidR="007630E9" w14:paraId="76863A2B" w14:textId="77777777" w:rsidTr="0069364A">
      <w:trPr>
        <w:trHeight w:val="274"/>
      </w:trPr>
      <w:tc>
        <w:tcPr>
          <w:tcW w:w="9464" w:type="dxa"/>
          <w:shd w:val="clear" w:color="auto" w:fill="auto"/>
        </w:tcPr>
        <w:p w14:paraId="318C82E4" w14:textId="77777777" w:rsidR="007630E9" w:rsidRPr="00000964" w:rsidRDefault="007630E9" w:rsidP="001659E5">
          <w:pPr>
            <w:widowControl w:val="0"/>
            <w:spacing w:before="120" w:line="200" w:lineRule="exact"/>
            <w:rPr>
              <w:rFonts w:eastAsia="Calibri" w:cs="Tahoma"/>
              <w:b/>
              <w:sz w:val="18"/>
              <w:szCs w:val="18"/>
            </w:rPr>
          </w:pPr>
          <w:r w:rsidRPr="00000964">
            <w:rPr>
              <w:rFonts w:eastAsia="Calibri" w:cs="Tahoma"/>
              <w:b/>
              <w:color w:val="4F81BD"/>
              <w:sz w:val="18"/>
              <w:szCs w:val="18"/>
            </w:rPr>
            <w:t xml:space="preserve">E Book – Collana I PRATICI di </w:t>
          </w:r>
          <w:proofErr w:type="spellStart"/>
          <w:r w:rsidRPr="00000964">
            <w:rPr>
              <w:rFonts w:eastAsia="Calibri" w:cs="Tahoma"/>
              <w:b/>
              <w:color w:val="4F81BD"/>
              <w:sz w:val="18"/>
              <w:szCs w:val="18"/>
            </w:rPr>
            <w:t>Fiscoetasse</w:t>
          </w:r>
          <w:proofErr w:type="spellEnd"/>
          <w:r>
            <w:rPr>
              <w:rFonts w:eastAsia="Calibri" w:cs="Tahoma"/>
              <w:b/>
              <w:color w:val="4F81BD"/>
              <w:sz w:val="18"/>
              <w:szCs w:val="18"/>
            </w:rPr>
            <w:t xml:space="preserve">                                                                                            </w:t>
          </w:r>
          <w:r w:rsidRPr="00000964">
            <w:rPr>
              <w:rFonts w:eastAsia="Calibri" w:cs="Tahoma"/>
              <w:b/>
              <w:color w:val="4F81BD"/>
              <w:sz w:val="18"/>
              <w:szCs w:val="18"/>
            </w:rPr>
            <w:fldChar w:fldCharType="begin"/>
          </w:r>
          <w:r w:rsidRPr="00000964">
            <w:rPr>
              <w:rFonts w:eastAsia="Calibri" w:cs="Tahoma"/>
              <w:b/>
              <w:color w:val="4F81BD"/>
              <w:sz w:val="18"/>
              <w:szCs w:val="18"/>
            </w:rPr>
            <w:instrText>PAGE   \* MERGEFORMAT</w:instrText>
          </w:r>
          <w:r w:rsidRPr="00000964">
            <w:rPr>
              <w:rFonts w:eastAsia="Calibri" w:cs="Tahoma"/>
              <w:b/>
              <w:color w:val="4F81BD"/>
              <w:sz w:val="18"/>
              <w:szCs w:val="18"/>
            </w:rPr>
            <w:fldChar w:fldCharType="separate"/>
          </w:r>
          <w:r>
            <w:rPr>
              <w:rFonts w:eastAsia="Calibri" w:cs="Tahoma"/>
              <w:b/>
              <w:noProof/>
              <w:color w:val="4F81BD"/>
              <w:sz w:val="18"/>
              <w:szCs w:val="18"/>
            </w:rPr>
            <w:t>62</w:t>
          </w:r>
          <w:r w:rsidRPr="00000964">
            <w:rPr>
              <w:rFonts w:eastAsia="Calibri" w:cs="Tahoma"/>
              <w:b/>
              <w:color w:val="4F81BD"/>
              <w:sz w:val="18"/>
              <w:szCs w:val="18"/>
            </w:rPr>
            <w:fldChar w:fldCharType="end"/>
          </w:r>
          <w:r>
            <w:rPr>
              <w:rFonts w:eastAsia="Calibri" w:cs="Tahoma"/>
              <w:b/>
              <w:color w:val="4F81BD"/>
              <w:sz w:val="18"/>
              <w:szCs w:val="18"/>
            </w:rPr>
            <w:t xml:space="preserve"> </w:t>
          </w:r>
          <w:r w:rsidRPr="00000964">
            <w:rPr>
              <w:rFonts w:eastAsia="Calibri" w:cs="Tahoma"/>
              <w:b/>
              <w:color w:val="4F81BD"/>
              <w:sz w:val="18"/>
              <w:szCs w:val="18"/>
            </w:rPr>
            <w:t xml:space="preserve"> </w:t>
          </w:r>
        </w:p>
      </w:tc>
    </w:tr>
  </w:tbl>
  <w:p w14:paraId="41942ED9" w14:textId="77777777" w:rsidR="007630E9" w:rsidRDefault="007630E9" w:rsidP="00BD0AC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4667F9" w14:textId="77777777" w:rsidR="00471E5B" w:rsidRDefault="00471E5B" w:rsidP="008D15F0">
      <w:r>
        <w:separator/>
      </w:r>
    </w:p>
  </w:footnote>
  <w:footnote w:type="continuationSeparator" w:id="0">
    <w:p w14:paraId="13923C4E" w14:textId="77777777" w:rsidR="00471E5B" w:rsidRDefault="00471E5B" w:rsidP="008D15F0">
      <w:r>
        <w:continuationSeparator/>
      </w:r>
    </w:p>
  </w:footnote>
  <w:footnote w:id="1">
    <w:p w14:paraId="20307EC1" w14:textId="77777777" w:rsidR="007630E9" w:rsidRPr="004F533C" w:rsidRDefault="007630E9" w:rsidP="008D15F0">
      <w:pPr>
        <w:pStyle w:val="Testonotaapidipagina"/>
        <w:rPr>
          <w:rFonts w:cs="Tahoma"/>
          <w:sz w:val="18"/>
          <w:szCs w:val="18"/>
        </w:rPr>
      </w:pPr>
      <w:r w:rsidRPr="004F533C">
        <w:rPr>
          <w:rStyle w:val="Rimandonotaapidipagina"/>
          <w:rFonts w:cs="Tahoma"/>
          <w:sz w:val="18"/>
          <w:szCs w:val="18"/>
        </w:rPr>
        <w:footnoteRef/>
      </w:r>
      <w:r w:rsidRPr="004F533C">
        <w:rPr>
          <w:rFonts w:cs="Tahoma"/>
          <w:sz w:val="18"/>
          <w:szCs w:val="18"/>
        </w:rPr>
        <w:t xml:space="preserve"> Dal 1.1.2020, l’IVIE risulta dovuta anche dalle società semplici e dagli enti non commerciali (tra cui trust e fondazioni).</w:t>
      </w:r>
    </w:p>
  </w:footnote>
  <w:footnote w:id="2">
    <w:p w14:paraId="7F7B6A9B" w14:textId="77777777" w:rsidR="007630E9" w:rsidRPr="009D6034" w:rsidRDefault="007630E9" w:rsidP="008D15F0">
      <w:pPr>
        <w:pStyle w:val="Testonotaapidipagina"/>
        <w:rPr>
          <w:rFonts w:cs="Tahoma"/>
          <w:sz w:val="18"/>
          <w:szCs w:val="18"/>
        </w:rPr>
      </w:pPr>
      <w:r>
        <w:rPr>
          <w:rStyle w:val="Rimandonotaapidipagina"/>
        </w:rPr>
        <w:footnoteRef/>
      </w:r>
      <w:r>
        <w:t xml:space="preserve"> </w:t>
      </w:r>
      <w:r w:rsidRPr="009D6034">
        <w:rPr>
          <w:rFonts w:cs="Tahoma"/>
          <w:sz w:val="18"/>
          <w:szCs w:val="18"/>
        </w:rPr>
        <w:t>Il regime fiscale degli interessi di fonte estera</w:t>
      </w:r>
      <w:r>
        <w:rPr>
          <w:rFonts w:cs="Tahoma"/>
          <w:sz w:val="18"/>
          <w:szCs w:val="18"/>
        </w:rPr>
        <w:t xml:space="preserve"> è contenuto negli artt. 2, 3 e 5 del D.Lgs. n. 239/96, nell’art. 26 del D.P.R. 600/73 e nell’art. 10-ter della Legge n. 77/83.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28C2B" w14:textId="77777777" w:rsidR="007630E9" w:rsidRDefault="007630E9">
    <w:r>
      <w:rPr>
        <w:noProof/>
      </w:rPr>
      <mc:AlternateContent>
        <mc:Choice Requires="wps">
          <w:drawing>
            <wp:anchor distT="0" distB="0" distL="114300" distR="114300" simplePos="0" relativeHeight="251658240" behindDoc="1" locked="0" layoutInCell="1" allowOverlap="1" wp14:anchorId="3F847F68" wp14:editId="59189C49">
              <wp:simplePos x="0" y="0"/>
              <wp:positionH relativeFrom="page">
                <wp:posOffset>1038225</wp:posOffset>
              </wp:positionH>
              <wp:positionV relativeFrom="page">
                <wp:posOffset>523875</wp:posOffset>
              </wp:positionV>
              <wp:extent cx="5715000" cy="247015"/>
              <wp:effectExtent l="0" t="3175" r="3175" b="381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4701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2CE822F" w14:textId="77777777" w:rsidR="007630E9" w:rsidRPr="007630E9" w:rsidRDefault="007630E9" w:rsidP="0069364A">
                          <w:pPr>
                            <w:tabs>
                              <w:tab w:val="left" w:pos="380"/>
                              <w:tab w:val="left" w:pos="8240"/>
                            </w:tabs>
                            <w:spacing w:line="181" w:lineRule="exact"/>
                            <w:ind w:right="-44"/>
                            <w:jc w:val="center"/>
                            <w:rPr>
                              <w:rFonts w:eastAsia="Minion Pro" w:cs="Tahoma"/>
                              <w:color w:val="BFBFBF" w:themeColor="background1" w:themeShade="BF"/>
                              <w:sz w:val="18"/>
                              <w:szCs w:val="18"/>
                              <w:u w:val="single"/>
                            </w:rPr>
                          </w:pPr>
                          <w:r w:rsidRPr="007630E9">
                            <w:rPr>
                              <w:rFonts w:eastAsia="Minion Pro" w:cs="Tahoma"/>
                              <w:color w:val="BFBFBF" w:themeColor="background1" w:themeShade="BF"/>
                              <w:spacing w:val="-4"/>
                              <w:position w:val="1"/>
                              <w:sz w:val="18"/>
                              <w:szCs w:val="18"/>
                              <w:u w:val="single"/>
                            </w:rPr>
                            <w:t>DIANA PÈREZ CORRADINI</w:t>
                          </w:r>
                          <w:r w:rsidRPr="007630E9">
                            <w:rPr>
                              <w:rFonts w:eastAsia="Minion Pro" w:cs="Tahoma"/>
                              <w:color w:val="BFBFBF" w:themeColor="background1" w:themeShade="BF"/>
                              <w:position w:val="1"/>
                              <w:sz w:val="18"/>
                              <w:szCs w:val="18"/>
                              <w:u w:val="single"/>
                            </w:rPr>
                            <w:t xml:space="preserve"> </w:t>
                          </w:r>
                          <w:r w:rsidRPr="007630E9">
                            <w:rPr>
                              <w:rFonts w:eastAsia="Minion Pro" w:cs="Tahoma"/>
                              <w:caps/>
                              <w:color w:val="BFBFBF" w:themeColor="background1" w:themeShade="BF"/>
                              <w:position w:val="1"/>
                              <w:sz w:val="18"/>
                              <w:szCs w:val="18"/>
                              <w:u w:val="single"/>
                            </w:rPr>
                            <w:t>– I REDDITI ESTERI DELLE PERSONE FISICHE IN DICHIARAZIONE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847F68" id="_x0000_t202" coordsize="21600,21600" o:spt="202" path="m,l,21600r21600,l21600,xe">
              <v:stroke joinstyle="miter"/>
              <v:path gradientshapeok="t" o:connecttype="rect"/>
            </v:shapetype>
            <v:shape id="Text Box 3" o:spid="_x0000_s1026" type="#_x0000_t202" style="position:absolute;left:0;text-align:left;margin-left:81.75pt;margin-top:41.25pt;width:450pt;height:19.4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" filled="f" stroked="f">
              <v:textbox inset="0,0,0,0">
                <w:txbxContent>
                  <w:p w14:paraId="22CE822F" w14:textId="77777777" w:rsidR="007630E9" w:rsidRPr="007630E9" w:rsidRDefault="007630E9" w:rsidP="0069364A">
                    <w:pPr>
                      <w:tabs>
                        <w:tab w:val="left" w:pos="380"/>
                        <w:tab w:val="left" w:pos="8240"/>
                      </w:tabs>
                      <w:spacing w:line="181" w:lineRule="exact"/>
                      <w:ind w:right="-44"/>
                      <w:jc w:val="center"/>
                      <w:rPr>
                        <w:rFonts w:eastAsia="Minion Pro" w:cs="Tahoma"/>
                        <w:color w:val="BFBFBF" w:themeColor="background1" w:themeShade="BF"/>
                        <w:sz w:val="18"/>
                        <w:szCs w:val="18"/>
                        <w:u w:val="single"/>
                      </w:rPr>
                    </w:pPr>
                    <w:r w:rsidRPr="007630E9">
                      <w:rPr>
                        <w:rFonts w:eastAsia="Minion Pro" w:cs="Tahoma"/>
                        <w:color w:val="BFBFBF" w:themeColor="background1" w:themeShade="BF"/>
                        <w:spacing w:val="-4"/>
                        <w:position w:val="1"/>
                        <w:sz w:val="18"/>
                        <w:szCs w:val="18"/>
                        <w:u w:val="single"/>
                      </w:rPr>
                      <w:t>DIANA PÈREZ CORRADINI</w:t>
                    </w:r>
                    <w:r w:rsidRPr="007630E9">
                      <w:rPr>
                        <w:rFonts w:eastAsia="Minion Pro" w:cs="Tahoma"/>
                        <w:color w:val="BFBFBF" w:themeColor="background1" w:themeShade="BF"/>
                        <w:position w:val="1"/>
                        <w:sz w:val="18"/>
                        <w:szCs w:val="18"/>
                        <w:u w:val="single"/>
                      </w:rPr>
                      <w:t xml:space="preserve"> </w:t>
                    </w:r>
                    <w:r w:rsidRPr="007630E9">
                      <w:rPr>
                        <w:rFonts w:eastAsia="Minion Pro" w:cs="Tahoma"/>
                        <w:caps/>
                        <w:color w:val="BFBFBF" w:themeColor="background1" w:themeShade="BF"/>
                        <w:position w:val="1"/>
                        <w:sz w:val="18"/>
                        <w:szCs w:val="18"/>
                        <w:u w:val="single"/>
                      </w:rPr>
                      <w:t>– I REDDITI ESTERI DELLE PERSONE FISICHE IN DICHIARAZIONE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914B2" w14:textId="77777777" w:rsidR="007630E9" w:rsidRPr="00D47F4F" w:rsidRDefault="007630E9" w:rsidP="0069364A">
    <w:pPr>
      <w:tabs>
        <w:tab w:val="left" w:pos="380"/>
        <w:tab w:val="left" w:pos="8240"/>
      </w:tabs>
      <w:spacing w:line="181" w:lineRule="exact"/>
      <w:ind w:left="20" w:right="-44"/>
      <w:jc w:val="center"/>
      <w:rPr>
        <w:rFonts w:eastAsia="Minion Pro" w:cs="Tahoma"/>
        <w:sz w:val="18"/>
        <w:szCs w:val="18"/>
      </w:rPr>
    </w:pPr>
  </w:p>
  <w:p w14:paraId="173B9ADA" w14:textId="77777777" w:rsidR="007630E9" w:rsidRDefault="007630E9" w:rsidP="0069364A">
    <w:pPr>
      <w:pStyle w:val="Intestazion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E1923"/>
    <w:multiLevelType w:val="multilevel"/>
    <w:tmpl w:val="F2264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3C49EC"/>
    <w:multiLevelType w:val="hybridMultilevel"/>
    <w:tmpl w:val="50E27E5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6801E47"/>
    <w:multiLevelType w:val="hybridMultilevel"/>
    <w:tmpl w:val="F790D85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6B57659"/>
    <w:multiLevelType w:val="hybridMultilevel"/>
    <w:tmpl w:val="11E6256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7811D61"/>
    <w:multiLevelType w:val="hybridMultilevel"/>
    <w:tmpl w:val="C5A0FF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87B02CA"/>
    <w:multiLevelType w:val="hybridMultilevel"/>
    <w:tmpl w:val="3F0C1A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0B4F0F68"/>
    <w:multiLevelType w:val="multilevel"/>
    <w:tmpl w:val="829C1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4F11AD"/>
    <w:multiLevelType w:val="hybridMultilevel"/>
    <w:tmpl w:val="B3A2C31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8" w15:restartNumberingAfterBreak="0">
    <w:nsid w:val="0F0C7360"/>
    <w:multiLevelType w:val="multilevel"/>
    <w:tmpl w:val="04488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09559DA"/>
    <w:multiLevelType w:val="hybridMultilevel"/>
    <w:tmpl w:val="6F3E32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0E6073C"/>
    <w:multiLevelType w:val="hybridMultilevel"/>
    <w:tmpl w:val="68C6E08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1AA4DAB"/>
    <w:multiLevelType w:val="hybridMultilevel"/>
    <w:tmpl w:val="CEBCB9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11DD05ED"/>
    <w:multiLevelType w:val="hybridMultilevel"/>
    <w:tmpl w:val="0D1669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132B137A"/>
    <w:multiLevelType w:val="hybridMultilevel"/>
    <w:tmpl w:val="BEF2CB8A"/>
    <w:lvl w:ilvl="0" w:tplc="1CFEAFE8">
      <w:start w:val="2"/>
      <w:numFmt w:val="decimal"/>
      <w:lvlText w:val="%1."/>
      <w:lvlJc w:val="left"/>
      <w:pPr>
        <w:tabs>
          <w:tab w:val="num" w:pos="720"/>
        </w:tabs>
        <w:ind w:left="720" w:hanging="360"/>
      </w:pPr>
    </w:lvl>
    <w:lvl w:ilvl="1" w:tplc="CDF2471E" w:tentative="1">
      <w:start w:val="1"/>
      <w:numFmt w:val="decimal"/>
      <w:lvlText w:val="%2."/>
      <w:lvlJc w:val="left"/>
      <w:pPr>
        <w:tabs>
          <w:tab w:val="num" w:pos="1440"/>
        </w:tabs>
        <w:ind w:left="1440" w:hanging="360"/>
      </w:pPr>
    </w:lvl>
    <w:lvl w:ilvl="2" w:tplc="D40C53C2" w:tentative="1">
      <w:start w:val="1"/>
      <w:numFmt w:val="decimal"/>
      <w:lvlText w:val="%3."/>
      <w:lvlJc w:val="left"/>
      <w:pPr>
        <w:tabs>
          <w:tab w:val="num" w:pos="2160"/>
        </w:tabs>
        <w:ind w:left="2160" w:hanging="360"/>
      </w:pPr>
    </w:lvl>
    <w:lvl w:ilvl="3" w:tplc="8BAE307E" w:tentative="1">
      <w:start w:val="1"/>
      <w:numFmt w:val="decimal"/>
      <w:lvlText w:val="%4."/>
      <w:lvlJc w:val="left"/>
      <w:pPr>
        <w:tabs>
          <w:tab w:val="num" w:pos="2880"/>
        </w:tabs>
        <w:ind w:left="2880" w:hanging="360"/>
      </w:pPr>
    </w:lvl>
    <w:lvl w:ilvl="4" w:tplc="A3CE95BC" w:tentative="1">
      <w:start w:val="1"/>
      <w:numFmt w:val="decimal"/>
      <w:lvlText w:val="%5."/>
      <w:lvlJc w:val="left"/>
      <w:pPr>
        <w:tabs>
          <w:tab w:val="num" w:pos="3600"/>
        </w:tabs>
        <w:ind w:left="3600" w:hanging="360"/>
      </w:pPr>
    </w:lvl>
    <w:lvl w:ilvl="5" w:tplc="BE6CD75E" w:tentative="1">
      <w:start w:val="1"/>
      <w:numFmt w:val="decimal"/>
      <w:lvlText w:val="%6."/>
      <w:lvlJc w:val="left"/>
      <w:pPr>
        <w:tabs>
          <w:tab w:val="num" w:pos="4320"/>
        </w:tabs>
        <w:ind w:left="4320" w:hanging="360"/>
      </w:pPr>
    </w:lvl>
    <w:lvl w:ilvl="6" w:tplc="CA0EFA36" w:tentative="1">
      <w:start w:val="1"/>
      <w:numFmt w:val="decimal"/>
      <w:lvlText w:val="%7."/>
      <w:lvlJc w:val="left"/>
      <w:pPr>
        <w:tabs>
          <w:tab w:val="num" w:pos="5040"/>
        </w:tabs>
        <w:ind w:left="5040" w:hanging="360"/>
      </w:pPr>
    </w:lvl>
    <w:lvl w:ilvl="7" w:tplc="70DAEA3E" w:tentative="1">
      <w:start w:val="1"/>
      <w:numFmt w:val="decimal"/>
      <w:lvlText w:val="%8."/>
      <w:lvlJc w:val="left"/>
      <w:pPr>
        <w:tabs>
          <w:tab w:val="num" w:pos="5760"/>
        </w:tabs>
        <w:ind w:left="5760" w:hanging="360"/>
      </w:pPr>
    </w:lvl>
    <w:lvl w:ilvl="8" w:tplc="D14CF110" w:tentative="1">
      <w:start w:val="1"/>
      <w:numFmt w:val="decimal"/>
      <w:lvlText w:val="%9."/>
      <w:lvlJc w:val="left"/>
      <w:pPr>
        <w:tabs>
          <w:tab w:val="num" w:pos="6480"/>
        </w:tabs>
        <w:ind w:left="6480" w:hanging="360"/>
      </w:pPr>
    </w:lvl>
  </w:abstractNum>
  <w:abstractNum w:abstractNumId="14" w15:restartNumberingAfterBreak="0">
    <w:nsid w:val="13845108"/>
    <w:multiLevelType w:val="hybridMultilevel"/>
    <w:tmpl w:val="D584D3C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15290096"/>
    <w:multiLevelType w:val="hybridMultilevel"/>
    <w:tmpl w:val="524E13A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19550955"/>
    <w:multiLevelType w:val="hybridMultilevel"/>
    <w:tmpl w:val="41082B9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1B1F26E3"/>
    <w:multiLevelType w:val="hybridMultilevel"/>
    <w:tmpl w:val="1E96E9EE"/>
    <w:lvl w:ilvl="0" w:tplc="04100001">
      <w:start w:val="1"/>
      <w:numFmt w:val="bullet"/>
      <w:lvlText w:val=""/>
      <w:lvlJc w:val="left"/>
      <w:pPr>
        <w:ind w:left="787" w:hanging="360"/>
      </w:pPr>
      <w:rPr>
        <w:rFonts w:ascii="Symbol" w:hAnsi="Symbol" w:hint="default"/>
      </w:rPr>
    </w:lvl>
    <w:lvl w:ilvl="1" w:tplc="04100003" w:tentative="1">
      <w:start w:val="1"/>
      <w:numFmt w:val="bullet"/>
      <w:lvlText w:val="o"/>
      <w:lvlJc w:val="left"/>
      <w:pPr>
        <w:ind w:left="1507" w:hanging="360"/>
      </w:pPr>
      <w:rPr>
        <w:rFonts w:ascii="Courier New" w:hAnsi="Courier New" w:cs="Courier New" w:hint="default"/>
      </w:rPr>
    </w:lvl>
    <w:lvl w:ilvl="2" w:tplc="04100005" w:tentative="1">
      <w:start w:val="1"/>
      <w:numFmt w:val="bullet"/>
      <w:lvlText w:val=""/>
      <w:lvlJc w:val="left"/>
      <w:pPr>
        <w:ind w:left="2227" w:hanging="360"/>
      </w:pPr>
      <w:rPr>
        <w:rFonts w:ascii="Wingdings" w:hAnsi="Wingdings" w:hint="default"/>
      </w:rPr>
    </w:lvl>
    <w:lvl w:ilvl="3" w:tplc="04100001" w:tentative="1">
      <w:start w:val="1"/>
      <w:numFmt w:val="bullet"/>
      <w:lvlText w:val=""/>
      <w:lvlJc w:val="left"/>
      <w:pPr>
        <w:ind w:left="2947" w:hanging="360"/>
      </w:pPr>
      <w:rPr>
        <w:rFonts w:ascii="Symbol" w:hAnsi="Symbol" w:hint="default"/>
      </w:rPr>
    </w:lvl>
    <w:lvl w:ilvl="4" w:tplc="04100003" w:tentative="1">
      <w:start w:val="1"/>
      <w:numFmt w:val="bullet"/>
      <w:lvlText w:val="o"/>
      <w:lvlJc w:val="left"/>
      <w:pPr>
        <w:ind w:left="3667" w:hanging="360"/>
      </w:pPr>
      <w:rPr>
        <w:rFonts w:ascii="Courier New" w:hAnsi="Courier New" w:cs="Courier New" w:hint="default"/>
      </w:rPr>
    </w:lvl>
    <w:lvl w:ilvl="5" w:tplc="04100005" w:tentative="1">
      <w:start w:val="1"/>
      <w:numFmt w:val="bullet"/>
      <w:lvlText w:val=""/>
      <w:lvlJc w:val="left"/>
      <w:pPr>
        <w:ind w:left="4387" w:hanging="360"/>
      </w:pPr>
      <w:rPr>
        <w:rFonts w:ascii="Wingdings" w:hAnsi="Wingdings" w:hint="default"/>
      </w:rPr>
    </w:lvl>
    <w:lvl w:ilvl="6" w:tplc="04100001" w:tentative="1">
      <w:start w:val="1"/>
      <w:numFmt w:val="bullet"/>
      <w:lvlText w:val=""/>
      <w:lvlJc w:val="left"/>
      <w:pPr>
        <w:ind w:left="5107" w:hanging="360"/>
      </w:pPr>
      <w:rPr>
        <w:rFonts w:ascii="Symbol" w:hAnsi="Symbol" w:hint="default"/>
      </w:rPr>
    </w:lvl>
    <w:lvl w:ilvl="7" w:tplc="04100003" w:tentative="1">
      <w:start w:val="1"/>
      <w:numFmt w:val="bullet"/>
      <w:lvlText w:val="o"/>
      <w:lvlJc w:val="left"/>
      <w:pPr>
        <w:ind w:left="5827" w:hanging="360"/>
      </w:pPr>
      <w:rPr>
        <w:rFonts w:ascii="Courier New" w:hAnsi="Courier New" w:cs="Courier New" w:hint="default"/>
      </w:rPr>
    </w:lvl>
    <w:lvl w:ilvl="8" w:tplc="04100005" w:tentative="1">
      <w:start w:val="1"/>
      <w:numFmt w:val="bullet"/>
      <w:lvlText w:val=""/>
      <w:lvlJc w:val="left"/>
      <w:pPr>
        <w:ind w:left="6547" w:hanging="360"/>
      </w:pPr>
      <w:rPr>
        <w:rFonts w:ascii="Wingdings" w:hAnsi="Wingdings" w:hint="default"/>
      </w:rPr>
    </w:lvl>
  </w:abstractNum>
  <w:abstractNum w:abstractNumId="18" w15:restartNumberingAfterBreak="0">
    <w:nsid w:val="1D52047B"/>
    <w:multiLevelType w:val="hybridMultilevel"/>
    <w:tmpl w:val="719A846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1FF9544B"/>
    <w:multiLevelType w:val="multilevel"/>
    <w:tmpl w:val="180ABD5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10202EA"/>
    <w:multiLevelType w:val="multilevel"/>
    <w:tmpl w:val="0D7CB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13F2D13"/>
    <w:multiLevelType w:val="hybridMultilevel"/>
    <w:tmpl w:val="C538B0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22652CBE"/>
    <w:multiLevelType w:val="hybridMultilevel"/>
    <w:tmpl w:val="65A61BA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22AE2BAB"/>
    <w:multiLevelType w:val="hybridMultilevel"/>
    <w:tmpl w:val="014E53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24E8161E"/>
    <w:multiLevelType w:val="hybridMultilevel"/>
    <w:tmpl w:val="533EF9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263618C4"/>
    <w:multiLevelType w:val="multilevel"/>
    <w:tmpl w:val="7AD47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7C57B8D"/>
    <w:multiLevelType w:val="hybridMultilevel"/>
    <w:tmpl w:val="632E7C1C"/>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281F64A3"/>
    <w:multiLevelType w:val="hybridMultilevel"/>
    <w:tmpl w:val="98486F9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299456B4"/>
    <w:multiLevelType w:val="hybridMultilevel"/>
    <w:tmpl w:val="A2145B9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2A327E6F"/>
    <w:multiLevelType w:val="hybridMultilevel"/>
    <w:tmpl w:val="6B5ABA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2B052CBB"/>
    <w:multiLevelType w:val="multilevel"/>
    <w:tmpl w:val="79B48D8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FAB6C68"/>
    <w:multiLevelType w:val="hybridMultilevel"/>
    <w:tmpl w:val="4EDCC8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31943DA5"/>
    <w:multiLevelType w:val="hybridMultilevel"/>
    <w:tmpl w:val="DFEE71D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33644017"/>
    <w:multiLevelType w:val="hybridMultilevel"/>
    <w:tmpl w:val="C5943CB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34D17ACA"/>
    <w:multiLevelType w:val="hybridMultilevel"/>
    <w:tmpl w:val="CF5C73CC"/>
    <w:lvl w:ilvl="0" w:tplc="8EEEC2C8">
      <w:start w:val="1"/>
      <w:numFmt w:val="bullet"/>
      <w:lvlText w:val="•"/>
      <w:lvlJc w:val="left"/>
      <w:pPr>
        <w:tabs>
          <w:tab w:val="num" w:pos="720"/>
        </w:tabs>
        <w:ind w:left="720" w:hanging="360"/>
      </w:pPr>
      <w:rPr>
        <w:rFonts w:ascii="Arial" w:hAnsi="Arial" w:hint="default"/>
      </w:rPr>
    </w:lvl>
    <w:lvl w:ilvl="1" w:tplc="04100001">
      <w:start w:val="1"/>
      <w:numFmt w:val="bullet"/>
      <w:lvlText w:val=""/>
      <w:lvlJc w:val="left"/>
      <w:pPr>
        <w:tabs>
          <w:tab w:val="num" w:pos="1440"/>
        </w:tabs>
        <w:ind w:left="1440" w:hanging="360"/>
      </w:pPr>
      <w:rPr>
        <w:rFonts w:ascii="Symbol" w:hAnsi="Symbol" w:hint="default"/>
      </w:rPr>
    </w:lvl>
    <w:lvl w:ilvl="2" w:tplc="DB98F0BE" w:tentative="1">
      <w:start w:val="1"/>
      <w:numFmt w:val="bullet"/>
      <w:lvlText w:val="•"/>
      <w:lvlJc w:val="left"/>
      <w:pPr>
        <w:tabs>
          <w:tab w:val="num" w:pos="2160"/>
        </w:tabs>
        <w:ind w:left="2160" w:hanging="360"/>
      </w:pPr>
      <w:rPr>
        <w:rFonts w:ascii="Arial" w:hAnsi="Arial" w:hint="default"/>
      </w:rPr>
    </w:lvl>
    <w:lvl w:ilvl="3" w:tplc="5AACF2DC" w:tentative="1">
      <w:start w:val="1"/>
      <w:numFmt w:val="bullet"/>
      <w:lvlText w:val="•"/>
      <w:lvlJc w:val="left"/>
      <w:pPr>
        <w:tabs>
          <w:tab w:val="num" w:pos="2880"/>
        </w:tabs>
        <w:ind w:left="2880" w:hanging="360"/>
      </w:pPr>
      <w:rPr>
        <w:rFonts w:ascii="Arial" w:hAnsi="Arial" w:hint="default"/>
      </w:rPr>
    </w:lvl>
    <w:lvl w:ilvl="4" w:tplc="9976D82A" w:tentative="1">
      <w:start w:val="1"/>
      <w:numFmt w:val="bullet"/>
      <w:lvlText w:val="•"/>
      <w:lvlJc w:val="left"/>
      <w:pPr>
        <w:tabs>
          <w:tab w:val="num" w:pos="3600"/>
        </w:tabs>
        <w:ind w:left="3600" w:hanging="360"/>
      </w:pPr>
      <w:rPr>
        <w:rFonts w:ascii="Arial" w:hAnsi="Arial" w:hint="default"/>
      </w:rPr>
    </w:lvl>
    <w:lvl w:ilvl="5" w:tplc="85AC7DFC" w:tentative="1">
      <w:start w:val="1"/>
      <w:numFmt w:val="bullet"/>
      <w:lvlText w:val="•"/>
      <w:lvlJc w:val="left"/>
      <w:pPr>
        <w:tabs>
          <w:tab w:val="num" w:pos="4320"/>
        </w:tabs>
        <w:ind w:left="4320" w:hanging="360"/>
      </w:pPr>
      <w:rPr>
        <w:rFonts w:ascii="Arial" w:hAnsi="Arial" w:hint="default"/>
      </w:rPr>
    </w:lvl>
    <w:lvl w:ilvl="6" w:tplc="9E022154" w:tentative="1">
      <w:start w:val="1"/>
      <w:numFmt w:val="bullet"/>
      <w:lvlText w:val="•"/>
      <w:lvlJc w:val="left"/>
      <w:pPr>
        <w:tabs>
          <w:tab w:val="num" w:pos="5040"/>
        </w:tabs>
        <w:ind w:left="5040" w:hanging="360"/>
      </w:pPr>
      <w:rPr>
        <w:rFonts w:ascii="Arial" w:hAnsi="Arial" w:hint="default"/>
      </w:rPr>
    </w:lvl>
    <w:lvl w:ilvl="7" w:tplc="0B2AA5F6" w:tentative="1">
      <w:start w:val="1"/>
      <w:numFmt w:val="bullet"/>
      <w:lvlText w:val="•"/>
      <w:lvlJc w:val="left"/>
      <w:pPr>
        <w:tabs>
          <w:tab w:val="num" w:pos="5760"/>
        </w:tabs>
        <w:ind w:left="5760" w:hanging="360"/>
      </w:pPr>
      <w:rPr>
        <w:rFonts w:ascii="Arial" w:hAnsi="Arial" w:hint="default"/>
      </w:rPr>
    </w:lvl>
    <w:lvl w:ilvl="8" w:tplc="54583E80"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35E84B72"/>
    <w:multiLevelType w:val="hybridMultilevel"/>
    <w:tmpl w:val="B0BC9CB4"/>
    <w:lvl w:ilvl="0" w:tplc="2BF24854">
      <w:start w:val="1"/>
      <w:numFmt w:val="decimal"/>
      <w:lvlText w:val="%1)"/>
      <w:lvlJc w:val="left"/>
      <w:pPr>
        <w:tabs>
          <w:tab w:val="num" w:pos="720"/>
        </w:tabs>
        <w:ind w:left="720" w:hanging="360"/>
      </w:pPr>
      <w:rPr>
        <w:rFonts w:hint="default"/>
      </w:rPr>
    </w:lvl>
    <w:lvl w:ilvl="1" w:tplc="5E6A93D6" w:tentative="1">
      <w:start w:val="1"/>
      <w:numFmt w:val="decimal"/>
      <w:lvlText w:val="%2."/>
      <w:lvlJc w:val="left"/>
      <w:pPr>
        <w:tabs>
          <w:tab w:val="num" w:pos="1440"/>
        </w:tabs>
        <w:ind w:left="1440" w:hanging="360"/>
      </w:pPr>
    </w:lvl>
    <w:lvl w:ilvl="2" w:tplc="EBF843E6" w:tentative="1">
      <w:start w:val="1"/>
      <w:numFmt w:val="decimal"/>
      <w:lvlText w:val="%3."/>
      <w:lvlJc w:val="left"/>
      <w:pPr>
        <w:tabs>
          <w:tab w:val="num" w:pos="2160"/>
        </w:tabs>
        <w:ind w:left="2160" w:hanging="360"/>
      </w:pPr>
    </w:lvl>
    <w:lvl w:ilvl="3" w:tplc="4CCA330C" w:tentative="1">
      <w:start w:val="1"/>
      <w:numFmt w:val="decimal"/>
      <w:lvlText w:val="%4."/>
      <w:lvlJc w:val="left"/>
      <w:pPr>
        <w:tabs>
          <w:tab w:val="num" w:pos="2880"/>
        </w:tabs>
        <w:ind w:left="2880" w:hanging="360"/>
      </w:pPr>
    </w:lvl>
    <w:lvl w:ilvl="4" w:tplc="CCD0E9EC" w:tentative="1">
      <w:start w:val="1"/>
      <w:numFmt w:val="decimal"/>
      <w:lvlText w:val="%5."/>
      <w:lvlJc w:val="left"/>
      <w:pPr>
        <w:tabs>
          <w:tab w:val="num" w:pos="3600"/>
        </w:tabs>
        <w:ind w:left="3600" w:hanging="360"/>
      </w:pPr>
    </w:lvl>
    <w:lvl w:ilvl="5" w:tplc="8EE68B5C" w:tentative="1">
      <w:start w:val="1"/>
      <w:numFmt w:val="decimal"/>
      <w:lvlText w:val="%6."/>
      <w:lvlJc w:val="left"/>
      <w:pPr>
        <w:tabs>
          <w:tab w:val="num" w:pos="4320"/>
        </w:tabs>
        <w:ind w:left="4320" w:hanging="360"/>
      </w:pPr>
    </w:lvl>
    <w:lvl w:ilvl="6" w:tplc="C64E12D0" w:tentative="1">
      <w:start w:val="1"/>
      <w:numFmt w:val="decimal"/>
      <w:lvlText w:val="%7."/>
      <w:lvlJc w:val="left"/>
      <w:pPr>
        <w:tabs>
          <w:tab w:val="num" w:pos="5040"/>
        </w:tabs>
        <w:ind w:left="5040" w:hanging="360"/>
      </w:pPr>
    </w:lvl>
    <w:lvl w:ilvl="7" w:tplc="099029C6" w:tentative="1">
      <w:start w:val="1"/>
      <w:numFmt w:val="decimal"/>
      <w:lvlText w:val="%8."/>
      <w:lvlJc w:val="left"/>
      <w:pPr>
        <w:tabs>
          <w:tab w:val="num" w:pos="5760"/>
        </w:tabs>
        <w:ind w:left="5760" w:hanging="360"/>
      </w:pPr>
    </w:lvl>
    <w:lvl w:ilvl="8" w:tplc="14929D24" w:tentative="1">
      <w:start w:val="1"/>
      <w:numFmt w:val="decimal"/>
      <w:lvlText w:val="%9."/>
      <w:lvlJc w:val="left"/>
      <w:pPr>
        <w:tabs>
          <w:tab w:val="num" w:pos="6480"/>
        </w:tabs>
        <w:ind w:left="6480" w:hanging="360"/>
      </w:pPr>
    </w:lvl>
  </w:abstractNum>
  <w:abstractNum w:abstractNumId="36" w15:restartNumberingAfterBreak="0">
    <w:nsid w:val="37101F24"/>
    <w:multiLevelType w:val="hybridMultilevel"/>
    <w:tmpl w:val="D196205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37102B4F"/>
    <w:multiLevelType w:val="hybridMultilevel"/>
    <w:tmpl w:val="48EA95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3B81111E"/>
    <w:multiLevelType w:val="multilevel"/>
    <w:tmpl w:val="B6F0C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CAC4F8C"/>
    <w:multiLevelType w:val="hybridMultilevel"/>
    <w:tmpl w:val="00AE56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3CB47694"/>
    <w:multiLevelType w:val="hybridMultilevel"/>
    <w:tmpl w:val="1C8457A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414A64B7"/>
    <w:multiLevelType w:val="hybridMultilevel"/>
    <w:tmpl w:val="FAA08BF4"/>
    <w:lvl w:ilvl="0" w:tplc="04100001">
      <w:start w:val="1"/>
      <w:numFmt w:val="bullet"/>
      <w:lvlText w:val=""/>
      <w:lvlJc w:val="left"/>
      <w:pPr>
        <w:tabs>
          <w:tab w:val="num" w:pos="720"/>
        </w:tabs>
        <w:ind w:left="720" w:hanging="360"/>
      </w:pPr>
      <w:rPr>
        <w:rFonts w:ascii="Symbol" w:hAnsi="Symbol" w:hint="default"/>
      </w:rPr>
    </w:lvl>
    <w:lvl w:ilvl="1" w:tplc="427A8DB8" w:tentative="1">
      <w:start w:val="1"/>
      <w:numFmt w:val="bullet"/>
      <w:lvlText w:val="•"/>
      <w:lvlJc w:val="left"/>
      <w:pPr>
        <w:tabs>
          <w:tab w:val="num" w:pos="1440"/>
        </w:tabs>
        <w:ind w:left="1440" w:hanging="360"/>
      </w:pPr>
      <w:rPr>
        <w:rFonts w:ascii="Arial" w:hAnsi="Arial" w:hint="default"/>
      </w:rPr>
    </w:lvl>
    <w:lvl w:ilvl="2" w:tplc="67328A6E" w:tentative="1">
      <w:start w:val="1"/>
      <w:numFmt w:val="bullet"/>
      <w:lvlText w:val="•"/>
      <w:lvlJc w:val="left"/>
      <w:pPr>
        <w:tabs>
          <w:tab w:val="num" w:pos="2160"/>
        </w:tabs>
        <w:ind w:left="2160" w:hanging="360"/>
      </w:pPr>
      <w:rPr>
        <w:rFonts w:ascii="Arial" w:hAnsi="Arial" w:hint="default"/>
      </w:rPr>
    </w:lvl>
    <w:lvl w:ilvl="3" w:tplc="FE78C8B6" w:tentative="1">
      <w:start w:val="1"/>
      <w:numFmt w:val="bullet"/>
      <w:lvlText w:val="•"/>
      <w:lvlJc w:val="left"/>
      <w:pPr>
        <w:tabs>
          <w:tab w:val="num" w:pos="2880"/>
        </w:tabs>
        <w:ind w:left="2880" w:hanging="360"/>
      </w:pPr>
      <w:rPr>
        <w:rFonts w:ascii="Arial" w:hAnsi="Arial" w:hint="default"/>
      </w:rPr>
    </w:lvl>
    <w:lvl w:ilvl="4" w:tplc="77AA2774" w:tentative="1">
      <w:start w:val="1"/>
      <w:numFmt w:val="bullet"/>
      <w:lvlText w:val="•"/>
      <w:lvlJc w:val="left"/>
      <w:pPr>
        <w:tabs>
          <w:tab w:val="num" w:pos="3600"/>
        </w:tabs>
        <w:ind w:left="3600" w:hanging="360"/>
      </w:pPr>
      <w:rPr>
        <w:rFonts w:ascii="Arial" w:hAnsi="Arial" w:hint="default"/>
      </w:rPr>
    </w:lvl>
    <w:lvl w:ilvl="5" w:tplc="E172678A" w:tentative="1">
      <w:start w:val="1"/>
      <w:numFmt w:val="bullet"/>
      <w:lvlText w:val="•"/>
      <w:lvlJc w:val="left"/>
      <w:pPr>
        <w:tabs>
          <w:tab w:val="num" w:pos="4320"/>
        </w:tabs>
        <w:ind w:left="4320" w:hanging="360"/>
      </w:pPr>
      <w:rPr>
        <w:rFonts w:ascii="Arial" w:hAnsi="Arial" w:hint="default"/>
      </w:rPr>
    </w:lvl>
    <w:lvl w:ilvl="6" w:tplc="9E0A89BE" w:tentative="1">
      <w:start w:val="1"/>
      <w:numFmt w:val="bullet"/>
      <w:lvlText w:val="•"/>
      <w:lvlJc w:val="left"/>
      <w:pPr>
        <w:tabs>
          <w:tab w:val="num" w:pos="5040"/>
        </w:tabs>
        <w:ind w:left="5040" w:hanging="360"/>
      </w:pPr>
      <w:rPr>
        <w:rFonts w:ascii="Arial" w:hAnsi="Arial" w:hint="default"/>
      </w:rPr>
    </w:lvl>
    <w:lvl w:ilvl="7" w:tplc="C2A02F16" w:tentative="1">
      <w:start w:val="1"/>
      <w:numFmt w:val="bullet"/>
      <w:lvlText w:val="•"/>
      <w:lvlJc w:val="left"/>
      <w:pPr>
        <w:tabs>
          <w:tab w:val="num" w:pos="5760"/>
        </w:tabs>
        <w:ind w:left="5760" w:hanging="360"/>
      </w:pPr>
      <w:rPr>
        <w:rFonts w:ascii="Arial" w:hAnsi="Arial" w:hint="default"/>
      </w:rPr>
    </w:lvl>
    <w:lvl w:ilvl="8" w:tplc="C10EF054"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441814C5"/>
    <w:multiLevelType w:val="hybridMultilevel"/>
    <w:tmpl w:val="4068242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44C27FAA"/>
    <w:multiLevelType w:val="hybridMultilevel"/>
    <w:tmpl w:val="F61ADC04"/>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44" w15:restartNumberingAfterBreak="0">
    <w:nsid w:val="49295CEF"/>
    <w:multiLevelType w:val="hybridMultilevel"/>
    <w:tmpl w:val="01C2C69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4A555C09"/>
    <w:multiLevelType w:val="hybridMultilevel"/>
    <w:tmpl w:val="FBBC17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4B0B32E2"/>
    <w:multiLevelType w:val="hybridMultilevel"/>
    <w:tmpl w:val="0EDC6788"/>
    <w:lvl w:ilvl="0" w:tplc="60A404B2">
      <w:start w:val="1"/>
      <w:numFmt w:val="bullet"/>
      <w:lvlText w:val=""/>
      <w:lvlJc w:val="left"/>
      <w:pPr>
        <w:ind w:left="720" w:hanging="360"/>
      </w:pPr>
      <w:rPr>
        <w:rFonts w:ascii="Symbol" w:hAnsi="Symbol" w:hint="default"/>
        <w:sz w:val="32"/>
        <w:szCs w:val="3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15:restartNumberingAfterBreak="0">
    <w:nsid w:val="4D003F57"/>
    <w:multiLevelType w:val="hybridMultilevel"/>
    <w:tmpl w:val="6430DFDA"/>
    <w:lvl w:ilvl="0" w:tplc="8EEEC2C8">
      <w:start w:val="1"/>
      <w:numFmt w:val="bullet"/>
      <w:lvlText w:val="•"/>
      <w:lvlJc w:val="left"/>
      <w:pPr>
        <w:ind w:left="1077" w:hanging="360"/>
      </w:pPr>
      <w:rPr>
        <w:rFonts w:ascii="Arial" w:hAnsi="Aria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48" w15:restartNumberingAfterBreak="0">
    <w:nsid w:val="4D44672E"/>
    <w:multiLevelType w:val="hybridMultilevel"/>
    <w:tmpl w:val="1742A2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9" w15:restartNumberingAfterBreak="0">
    <w:nsid w:val="4D62668B"/>
    <w:multiLevelType w:val="hybridMultilevel"/>
    <w:tmpl w:val="59080D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0" w15:restartNumberingAfterBreak="0">
    <w:nsid w:val="4E8B7886"/>
    <w:multiLevelType w:val="hybridMultilevel"/>
    <w:tmpl w:val="5092638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1" w15:restartNumberingAfterBreak="0">
    <w:nsid w:val="4ECD4A2F"/>
    <w:multiLevelType w:val="hybridMultilevel"/>
    <w:tmpl w:val="EB141CA0"/>
    <w:lvl w:ilvl="0" w:tplc="04100001">
      <w:start w:val="1"/>
      <w:numFmt w:val="bullet"/>
      <w:lvlText w:val=""/>
      <w:lvlJc w:val="left"/>
      <w:pPr>
        <w:tabs>
          <w:tab w:val="num" w:pos="720"/>
        </w:tabs>
        <w:ind w:left="720" w:hanging="360"/>
      </w:pPr>
      <w:rPr>
        <w:rFonts w:ascii="Symbol" w:hAnsi="Symbol" w:hint="default"/>
      </w:rPr>
    </w:lvl>
    <w:lvl w:ilvl="1" w:tplc="CCE63650" w:tentative="1">
      <w:start w:val="1"/>
      <w:numFmt w:val="bullet"/>
      <w:lvlText w:val="•"/>
      <w:lvlJc w:val="left"/>
      <w:pPr>
        <w:tabs>
          <w:tab w:val="num" w:pos="1440"/>
        </w:tabs>
        <w:ind w:left="1440" w:hanging="360"/>
      </w:pPr>
      <w:rPr>
        <w:rFonts w:ascii="Arial" w:hAnsi="Arial" w:hint="default"/>
      </w:rPr>
    </w:lvl>
    <w:lvl w:ilvl="2" w:tplc="1DB28868" w:tentative="1">
      <w:start w:val="1"/>
      <w:numFmt w:val="bullet"/>
      <w:lvlText w:val="•"/>
      <w:lvlJc w:val="left"/>
      <w:pPr>
        <w:tabs>
          <w:tab w:val="num" w:pos="2160"/>
        </w:tabs>
        <w:ind w:left="2160" w:hanging="360"/>
      </w:pPr>
      <w:rPr>
        <w:rFonts w:ascii="Arial" w:hAnsi="Arial" w:hint="default"/>
      </w:rPr>
    </w:lvl>
    <w:lvl w:ilvl="3" w:tplc="76808E94" w:tentative="1">
      <w:start w:val="1"/>
      <w:numFmt w:val="bullet"/>
      <w:lvlText w:val="•"/>
      <w:lvlJc w:val="left"/>
      <w:pPr>
        <w:tabs>
          <w:tab w:val="num" w:pos="2880"/>
        </w:tabs>
        <w:ind w:left="2880" w:hanging="360"/>
      </w:pPr>
      <w:rPr>
        <w:rFonts w:ascii="Arial" w:hAnsi="Arial" w:hint="default"/>
      </w:rPr>
    </w:lvl>
    <w:lvl w:ilvl="4" w:tplc="3A6E0F52" w:tentative="1">
      <w:start w:val="1"/>
      <w:numFmt w:val="bullet"/>
      <w:lvlText w:val="•"/>
      <w:lvlJc w:val="left"/>
      <w:pPr>
        <w:tabs>
          <w:tab w:val="num" w:pos="3600"/>
        </w:tabs>
        <w:ind w:left="3600" w:hanging="360"/>
      </w:pPr>
      <w:rPr>
        <w:rFonts w:ascii="Arial" w:hAnsi="Arial" w:hint="default"/>
      </w:rPr>
    </w:lvl>
    <w:lvl w:ilvl="5" w:tplc="1CAA2B46" w:tentative="1">
      <w:start w:val="1"/>
      <w:numFmt w:val="bullet"/>
      <w:lvlText w:val="•"/>
      <w:lvlJc w:val="left"/>
      <w:pPr>
        <w:tabs>
          <w:tab w:val="num" w:pos="4320"/>
        </w:tabs>
        <w:ind w:left="4320" w:hanging="360"/>
      </w:pPr>
      <w:rPr>
        <w:rFonts w:ascii="Arial" w:hAnsi="Arial" w:hint="default"/>
      </w:rPr>
    </w:lvl>
    <w:lvl w:ilvl="6" w:tplc="99D4D482" w:tentative="1">
      <w:start w:val="1"/>
      <w:numFmt w:val="bullet"/>
      <w:lvlText w:val="•"/>
      <w:lvlJc w:val="left"/>
      <w:pPr>
        <w:tabs>
          <w:tab w:val="num" w:pos="5040"/>
        </w:tabs>
        <w:ind w:left="5040" w:hanging="360"/>
      </w:pPr>
      <w:rPr>
        <w:rFonts w:ascii="Arial" w:hAnsi="Arial" w:hint="default"/>
      </w:rPr>
    </w:lvl>
    <w:lvl w:ilvl="7" w:tplc="200CB3A6" w:tentative="1">
      <w:start w:val="1"/>
      <w:numFmt w:val="bullet"/>
      <w:lvlText w:val="•"/>
      <w:lvlJc w:val="left"/>
      <w:pPr>
        <w:tabs>
          <w:tab w:val="num" w:pos="5760"/>
        </w:tabs>
        <w:ind w:left="5760" w:hanging="360"/>
      </w:pPr>
      <w:rPr>
        <w:rFonts w:ascii="Arial" w:hAnsi="Arial" w:hint="default"/>
      </w:rPr>
    </w:lvl>
    <w:lvl w:ilvl="8" w:tplc="9A760F5A"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4FE7297D"/>
    <w:multiLevelType w:val="hybridMultilevel"/>
    <w:tmpl w:val="9CCCA8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3" w15:restartNumberingAfterBreak="0">
    <w:nsid w:val="54C43575"/>
    <w:multiLevelType w:val="hybridMultilevel"/>
    <w:tmpl w:val="1054CC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4" w15:restartNumberingAfterBreak="0">
    <w:nsid w:val="56DD2F3C"/>
    <w:multiLevelType w:val="hybridMultilevel"/>
    <w:tmpl w:val="A420DAC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5" w15:restartNumberingAfterBreak="0">
    <w:nsid w:val="591C5244"/>
    <w:multiLevelType w:val="hybridMultilevel"/>
    <w:tmpl w:val="DA021EE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6" w15:restartNumberingAfterBreak="0">
    <w:nsid w:val="5BFC1D17"/>
    <w:multiLevelType w:val="hybridMultilevel"/>
    <w:tmpl w:val="27C636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7" w15:restartNumberingAfterBreak="0">
    <w:nsid w:val="5EC323E1"/>
    <w:multiLevelType w:val="hybridMultilevel"/>
    <w:tmpl w:val="EAF4523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8" w15:restartNumberingAfterBreak="0">
    <w:nsid w:val="5ED42952"/>
    <w:multiLevelType w:val="hybridMultilevel"/>
    <w:tmpl w:val="7A92B32E"/>
    <w:lvl w:ilvl="0" w:tplc="04100001">
      <w:start w:val="1"/>
      <w:numFmt w:val="bullet"/>
      <w:lvlText w:val=""/>
      <w:lvlJc w:val="left"/>
      <w:pPr>
        <w:tabs>
          <w:tab w:val="num" w:pos="720"/>
        </w:tabs>
        <w:ind w:left="720" w:hanging="360"/>
      </w:pPr>
      <w:rPr>
        <w:rFonts w:ascii="Symbol" w:hAnsi="Symbol" w:hint="default"/>
      </w:rPr>
    </w:lvl>
    <w:lvl w:ilvl="1" w:tplc="74C2D9A6" w:tentative="1">
      <w:start w:val="1"/>
      <w:numFmt w:val="bullet"/>
      <w:lvlText w:val="•"/>
      <w:lvlJc w:val="left"/>
      <w:pPr>
        <w:tabs>
          <w:tab w:val="num" w:pos="1440"/>
        </w:tabs>
        <w:ind w:left="1440" w:hanging="360"/>
      </w:pPr>
      <w:rPr>
        <w:rFonts w:ascii="Arial" w:hAnsi="Arial" w:hint="default"/>
      </w:rPr>
    </w:lvl>
    <w:lvl w:ilvl="2" w:tplc="5CE67E78" w:tentative="1">
      <w:start w:val="1"/>
      <w:numFmt w:val="bullet"/>
      <w:lvlText w:val="•"/>
      <w:lvlJc w:val="left"/>
      <w:pPr>
        <w:tabs>
          <w:tab w:val="num" w:pos="2160"/>
        </w:tabs>
        <w:ind w:left="2160" w:hanging="360"/>
      </w:pPr>
      <w:rPr>
        <w:rFonts w:ascii="Arial" w:hAnsi="Arial" w:hint="default"/>
      </w:rPr>
    </w:lvl>
    <w:lvl w:ilvl="3" w:tplc="35F09246" w:tentative="1">
      <w:start w:val="1"/>
      <w:numFmt w:val="bullet"/>
      <w:lvlText w:val="•"/>
      <w:lvlJc w:val="left"/>
      <w:pPr>
        <w:tabs>
          <w:tab w:val="num" w:pos="2880"/>
        </w:tabs>
        <w:ind w:left="2880" w:hanging="360"/>
      </w:pPr>
      <w:rPr>
        <w:rFonts w:ascii="Arial" w:hAnsi="Arial" w:hint="default"/>
      </w:rPr>
    </w:lvl>
    <w:lvl w:ilvl="4" w:tplc="0464C014" w:tentative="1">
      <w:start w:val="1"/>
      <w:numFmt w:val="bullet"/>
      <w:lvlText w:val="•"/>
      <w:lvlJc w:val="left"/>
      <w:pPr>
        <w:tabs>
          <w:tab w:val="num" w:pos="3600"/>
        </w:tabs>
        <w:ind w:left="3600" w:hanging="360"/>
      </w:pPr>
      <w:rPr>
        <w:rFonts w:ascii="Arial" w:hAnsi="Arial" w:hint="default"/>
      </w:rPr>
    </w:lvl>
    <w:lvl w:ilvl="5" w:tplc="4C4EDF9A" w:tentative="1">
      <w:start w:val="1"/>
      <w:numFmt w:val="bullet"/>
      <w:lvlText w:val="•"/>
      <w:lvlJc w:val="left"/>
      <w:pPr>
        <w:tabs>
          <w:tab w:val="num" w:pos="4320"/>
        </w:tabs>
        <w:ind w:left="4320" w:hanging="360"/>
      </w:pPr>
      <w:rPr>
        <w:rFonts w:ascii="Arial" w:hAnsi="Arial" w:hint="default"/>
      </w:rPr>
    </w:lvl>
    <w:lvl w:ilvl="6" w:tplc="B5120224" w:tentative="1">
      <w:start w:val="1"/>
      <w:numFmt w:val="bullet"/>
      <w:lvlText w:val="•"/>
      <w:lvlJc w:val="left"/>
      <w:pPr>
        <w:tabs>
          <w:tab w:val="num" w:pos="5040"/>
        </w:tabs>
        <w:ind w:left="5040" w:hanging="360"/>
      </w:pPr>
      <w:rPr>
        <w:rFonts w:ascii="Arial" w:hAnsi="Arial" w:hint="default"/>
      </w:rPr>
    </w:lvl>
    <w:lvl w:ilvl="7" w:tplc="7B20E538" w:tentative="1">
      <w:start w:val="1"/>
      <w:numFmt w:val="bullet"/>
      <w:lvlText w:val="•"/>
      <w:lvlJc w:val="left"/>
      <w:pPr>
        <w:tabs>
          <w:tab w:val="num" w:pos="5760"/>
        </w:tabs>
        <w:ind w:left="5760" w:hanging="360"/>
      </w:pPr>
      <w:rPr>
        <w:rFonts w:ascii="Arial" w:hAnsi="Arial" w:hint="default"/>
      </w:rPr>
    </w:lvl>
    <w:lvl w:ilvl="8" w:tplc="105047E4" w:tentative="1">
      <w:start w:val="1"/>
      <w:numFmt w:val="bullet"/>
      <w:lvlText w:val="•"/>
      <w:lvlJc w:val="left"/>
      <w:pPr>
        <w:tabs>
          <w:tab w:val="num" w:pos="6480"/>
        </w:tabs>
        <w:ind w:left="6480" w:hanging="360"/>
      </w:pPr>
      <w:rPr>
        <w:rFonts w:ascii="Arial" w:hAnsi="Arial" w:hint="default"/>
      </w:rPr>
    </w:lvl>
  </w:abstractNum>
  <w:abstractNum w:abstractNumId="59" w15:restartNumberingAfterBreak="0">
    <w:nsid w:val="5FEA5392"/>
    <w:multiLevelType w:val="hybridMultilevel"/>
    <w:tmpl w:val="8CCE35A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0" w15:restartNumberingAfterBreak="0">
    <w:nsid w:val="61E31B5B"/>
    <w:multiLevelType w:val="hybridMultilevel"/>
    <w:tmpl w:val="2D4284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1" w15:restartNumberingAfterBreak="0">
    <w:nsid w:val="62733198"/>
    <w:multiLevelType w:val="multilevel"/>
    <w:tmpl w:val="BEBCB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2797AC3"/>
    <w:multiLevelType w:val="hybridMultilevel"/>
    <w:tmpl w:val="9DFA30F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3" w15:restartNumberingAfterBreak="0">
    <w:nsid w:val="64846D69"/>
    <w:multiLevelType w:val="hybridMultilevel"/>
    <w:tmpl w:val="09BCD1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4" w15:restartNumberingAfterBreak="0">
    <w:nsid w:val="66DF3661"/>
    <w:multiLevelType w:val="hybridMultilevel"/>
    <w:tmpl w:val="D904320E"/>
    <w:lvl w:ilvl="0" w:tplc="9F563E5E">
      <w:start w:val="3"/>
      <w:numFmt w:val="decimal"/>
      <w:lvlText w:val="%1."/>
      <w:lvlJc w:val="left"/>
      <w:pPr>
        <w:tabs>
          <w:tab w:val="num" w:pos="720"/>
        </w:tabs>
        <w:ind w:left="720" w:hanging="360"/>
      </w:pPr>
    </w:lvl>
    <w:lvl w:ilvl="1" w:tplc="0204A468" w:tentative="1">
      <w:start w:val="1"/>
      <w:numFmt w:val="decimal"/>
      <w:lvlText w:val="%2."/>
      <w:lvlJc w:val="left"/>
      <w:pPr>
        <w:tabs>
          <w:tab w:val="num" w:pos="1440"/>
        </w:tabs>
        <w:ind w:left="1440" w:hanging="360"/>
      </w:pPr>
    </w:lvl>
    <w:lvl w:ilvl="2" w:tplc="C1927114" w:tentative="1">
      <w:start w:val="1"/>
      <w:numFmt w:val="decimal"/>
      <w:lvlText w:val="%3."/>
      <w:lvlJc w:val="left"/>
      <w:pPr>
        <w:tabs>
          <w:tab w:val="num" w:pos="2160"/>
        </w:tabs>
        <w:ind w:left="2160" w:hanging="360"/>
      </w:pPr>
    </w:lvl>
    <w:lvl w:ilvl="3" w:tplc="9DC2A1A0" w:tentative="1">
      <w:start w:val="1"/>
      <w:numFmt w:val="decimal"/>
      <w:lvlText w:val="%4."/>
      <w:lvlJc w:val="left"/>
      <w:pPr>
        <w:tabs>
          <w:tab w:val="num" w:pos="2880"/>
        </w:tabs>
        <w:ind w:left="2880" w:hanging="360"/>
      </w:pPr>
    </w:lvl>
    <w:lvl w:ilvl="4" w:tplc="F9780E3C" w:tentative="1">
      <w:start w:val="1"/>
      <w:numFmt w:val="decimal"/>
      <w:lvlText w:val="%5."/>
      <w:lvlJc w:val="left"/>
      <w:pPr>
        <w:tabs>
          <w:tab w:val="num" w:pos="3600"/>
        </w:tabs>
        <w:ind w:left="3600" w:hanging="360"/>
      </w:pPr>
    </w:lvl>
    <w:lvl w:ilvl="5" w:tplc="90800D82" w:tentative="1">
      <w:start w:val="1"/>
      <w:numFmt w:val="decimal"/>
      <w:lvlText w:val="%6."/>
      <w:lvlJc w:val="left"/>
      <w:pPr>
        <w:tabs>
          <w:tab w:val="num" w:pos="4320"/>
        </w:tabs>
        <w:ind w:left="4320" w:hanging="360"/>
      </w:pPr>
    </w:lvl>
    <w:lvl w:ilvl="6" w:tplc="BA5A86D8" w:tentative="1">
      <w:start w:val="1"/>
      <w:numFmt w:val="decimal"/>
      <w:lvlText w:val="%7."/>
      <w:lvlJc w:val="left"/>
      <w:pPr>
        <w:tabs>
          <w:tab w:val="num" w:pos="5040"/>
        </w:tabs>
        <w:ind w:left="5040" w:hanging="360"/>
      </w:pPr>
    </w:lvl>
    <w:lvl w:ilvl="7" w:tplc="7CA43E8E" w:tentative="1">
      <w:start w:val="1"/>
      <w:numFmt w:val="decimal"/>
      <w:lvlText w:val="%8."/>
      <w:lvlJc w:val="left"/>
      <w:pPr>
        <w:tabs>
          <w:tab w:val="num" w:pos="5760"/>
        </w:tabs>
        <w:ind w:left="5760" w:hanging="360"/>
      </w:pPr>
    </w:lvl>
    <w:lvl w:ilvl="8" w:tplc="37E25FF2" w:tentative="1">
      <w:start w:val="1"/>
      <w:numFmt w:val="decimal"/>
      <w:lvlText w:val="%9."/>
      <w:lvlJc w:val="left"/>
      <w:pPr>
        <w:tabs>
          <w:tab w:val="num" w:pos="6480"/>
        </w:tabs>
        <w:ind w:left="6480" w:hanging="360"/>
      </w:pPr>
    </w:lvl>
  </w:abstractNum>
  <w:abstractNum w:abstractNumId="65" w15:restartNumberingAfterBreak="0">
    <w:nsid w:val="69070609"/>
    <w:multiLevelType w:val="hybridMultilevel"/>
    <w:tmpl w:val="8832594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6" w15:restartNumberingAfterBreak="0">
    <w:nsid w:val="692B6F48"/>
    <w:multiLevelType w:val="hybridMultilevel"/>
    <w:tmpl w:val="B54234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7" w15:restartNumberingAfterBreak="0">
    <w:nsid w:val="69813D38"/>
    <w:multiLevelType w:val="hybridMultilevel"/>
    <w:tmpl w:val="95FA233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8" w15:restartNumberingAfterBreak="0">
    <w:nsid w:val="6A307B48"/>
    <w:multiLevelType w:val="hybridMultilevel"/>
    <w:tmpl w:val="924266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9" w15:restartNumberingAfterBreak="0">
    <w:nsid w:val="6A8B228A"/>
    <w:multiLevelType w:val="hybridMultilevel"/>
    <w:tmpl w:val="A6688E6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0" w15:restartNumberingAfterBreak="0">
    <w:nsid w:val="6CE27BC7"/>
    <w:multiLevelType w:val="hybridMultilevel"/>
    <w:tmpl w:val="9BD007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1" w15:restartNumberingAfterBreak="0">
    <w:nsid w:val="6CFB38DA"/>
    <w:multiLevelType w:val="hybridMultilevel"/>
    <w:tmpl w:val="77CA256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2" w15:restartNumberingAfterBreak="0">
    <w:nsid w:val="6D49475D"/>
    <w:multiLevelType w:val="hybridMultilevel"/>
    <w:tmpl w:val="E7567D9A"/>
    <w:lvl w:ilvl="0" w:tplc="04100001">
      <w:start w:val="1"/>
      <w:numFmt w:val="bullet"/>
      <w:lvlText w:val=""/>
      <w:lvlJc w:val="left"/>
      <w:pPr>
        <w:ind w:left="787" w:hanging="360"/>
      </w:pPr>
      <w:rPr>
        <w:rFonts w:ascii="Symbol" w:hAnsi="Symbol" w:hint="default"/>
      </w:rPr>
    </w:lvl>
    <w:lvl w:ilvl="1" w:tplc="04100003" w:tentative="1">
      <w:start w:val="1"/>
      <w:numFmt w:val="bullet"/>
      <w:lvlText w:val="o"/>
      <w:lvlJc w:val="left"/>
      <w:pPr>
        <w:ind w:left="1507" w:hanging="360"/>
      </w:pPr>
      <w:rPr>
        <w:rFonts w:ascii="Courier New" w:hAnsi="Courier New" w:hint="default"/>
      </w:rPr>
    </w:lvl>
    <w:lvl w:ilvl="2" w:tplc="04100005" w:tentative="1">
      <w:start w:val="1"/>
      <w:numFmt w:val="bullet"/>
      <w:lvlText w:val=""/>
      <w:lvlJc w:val="left"/>
      <w:pPr>
        <w:ind w:left="2227" w:hanging="360"/>
      </w:pPr>
      <w:rPr>
        <w:rFonts w:ascii="Wingdings" w:hAnsi="Wingdings" w:hint="default"/>
      </w:rPr>
    </w:lvl>
    <w:lvl w:ilvl="3" w:tplc="04100001" w:tentative="1">
      <w:start w:val="1"/>
      <w:numFmt w:val="bullet"/>
      <w:lvlText w:val=""/>
      <w:lvlJc w:val="left"/>
      <w:pPr>
        <w:ind w:left="2947" w:hanging="360"/>
      </w:pPr>
      <w:rPr>
        <w:rFonts w:ascii="Symbol" w:hAnsi="Symbol" w:hint="default"/>
      </w:rPr>
    </w:lvl>
    <w:lvl w:ilvl="4" w:tplc="04100003" w:tentative="1">
      <w:start w:val="1"/>
      <w:numFmt w:val="bullet"/>
      <w:lvlText w:val="o"/>
      <w:lvlJc w:val="left"/>
      <w:pPr>
        <w:ind w:left="3667" w:hanging="360"/>
      </w:pPr>
      <w:rPr>
        <w:rFonts w:ascii="Courier New" w:hAnsi="Courier New" w:hint="default"/>
      </w:rPr>
    </w:lvl>
    <w:lvl w:ilvl="5" w:tplc="04100005" w:tentative="1">
      <w:start w:val="1"/>
      <w:numFmt w:val="bullet"/>
      <w:lvlText w:val=""/>
      <w:lvlJc w:val="left"/>
      <w:pPr>
        <w:ind w:left="4387" w:hanging="360"/>
      </w:pPr>
      <w:rPr>
        <w:rFonts w:ascii="Wingdings" w:hAnsi="Wingdings" w:hint="default"/>
      </w:rPr>
    </w:lvl>
    <w:lvl w:ilvl="6" w:tplc="04100001" w:tentative="1">
      <w:start w:val="1"/>
      <w:numFmt w:val="bullet"/>
      <w:lvlText w:val=""/>
      <w:lvlJc w:val="left"/>
      <w:pPr>
        <w:ind w:left="5107" w:hanging="360"/>
      </w:pPr>
      <w:rPr>
        <w:rFonts w:ascii="Symbol" w:hAnsi="Symbol" w:hint="default"/>
      </w:rPr>
    </w:lvl>
    <w:lvl w:ilvl="7" w:tplc="04100003" w:tentative="1">
      <w:start w:val="1"/>
      <w:numFmt w:val="bullet"/>
      <w:lvlText w:val="o"/>
      <w:lvlJc w:val="left"/>
      <w:pPr>
        <w:ind w:left="5827" w:hanging="360"/>
      </w:pPr>
      <w:rPr>
        <w:rFonts w:ascii="Courier New" w:hAnsi="Courier New" w:hint="default"/>
      </w:rPr>
    </w:lvl>
    <w:lvl w:ilvl="8" w:tplc="04100005" w:tentative="1">
      <w:start w:val="1"/>
      <w:numFmt w:val="bullet"/>
      <w:lvlText w:val=""/>
      <w:lvlJc w:val="left"/>
      <w:pPr>
        <w:ind w:left="6547" w:hanging="360"/>
      </w:pPr>
      <w:rPr>
        <w:rFonts w:ascii="Wingdings" w:hAnsi="Wingdings" w:hint="default"/>
      </w:rPr>
    </w:lvl>
  </w:abstractNum>
  <w:abstractNum w:abstractNumId="73" w15:restartNumberingAfterBreak="0">
    <w:nsid w:val="6D551459"/>
    <w:multiLevelType w:val="hybridMultilevel"/>
    <w:tmpl w:val="C6E48C22"/>
    <w:lvl w:ilvl="0" w:tplc="04100001">
      <w:start w:val="1"/>
      <w:numFmt w:val="bullet"/>
      <w:lvlText w:val=""/>
      <w:lvlJc w:val="left"/>
      <w:pPr>
        <w:tabs>
          <w:tab w:val="num" w:pos="720"/>
        </w:tabs>
        <w:ind w:left="720" w:hanging="360"/>
      </w:pPr>
      <w:rPr>
        <w:rFonts w:ascii="Symbol" w:hAnsi="Symbol" w:hint="default"/>
      </w:rPr>
    </w:lvl>
    <w:lvl w:ilvl="1" w:tplc="05F4A184" w:tentative="1">
      <w:start w:val="1"/>
      <w:numFmt w:val="bullet"/>
      <w:lvlText w:val="•"/>
      <w:lvlJc w:val="left"/>
      <w:pPr>
        <w:tabs>
          <w:tab w:val="num" w:pos="1440"/>
        </w:tabs>
        <w:ind w:left="1440" w:hanging="360"/>
      </w:pPr>
      <w:rPr>
        <w:rFonts w:ascii="Arial" w:hAnsi="Arial" w:hint="default"/>
      </w:rPr>
    </w:lvl>
    <w:lvl w:ilvl="2" w:tplc="D7160C22" w:tentative="1">
      <w:start w:val="1"/>
      <w:numFmt w:val="bullet"/>
      <w:lvlText w:val="•"/>
      <w:lvlJc w:val="left"/>
      <w:pPr>
        <w:tabs>
          <w:tab w:val="num" w:pos="2160"/>
        </w:tabs>
        <w:ind w:left="2160" w:hanging="360"/>
      </w:pPr>
      <w:rPr>
        <w:rFonts w:ascii="Arial" w:hAnsi="Arial" w:hint="default"/>
      </w:rPr>
    </w:lvl>
    <w:lvl w:ilvl="3" w:tplc="BC1872A4" w:tentative="1">
      <w:start w:val="1"/>
      <w:numFmt w:val="bullet"/>
      <w:lvlText w:val="•"/>
      <w:lvlJc w:val="left"/>
      <w:pPr>
        <w:tabs>
          <w:tab w:val="num" w:pos="2880"/>
        </w:tabs>
        <w:ind w:left="2880" w:hanging="360"/>
      </w:pPr>
      <w:rPr>
        <w:rFonts w:ascii="Arial" w:hAnsi="Arial" w:hint="default"/>
      </w:rPr>
    </w:lvl>
    <w:lvl w:ilvl="4" w:tplc="9A7624A2" w:tentative="1">
      <w:start w:val="1"/>
      <w:numFmt w:val="bullet"/>
      <w:lvlText w:val="•"/>
      <w:lvlJc w:val="left"/>
      <w:pPr>
        <w:tabs>
          <w:tab w:val="num" w:pos="3600"/>
        </w:tabs>
        <w:ind w:left="3600" w:hanging="360"/>
      </w:pPr>
      <w:rPr>
        <w:rFonts w:ascii="Arial" w:hAnsi="Arial" w:hint="default"/>
      </w:rPr>
    </w:lvl>
    <w:lvl w:ilvl="5" w:tplc="B1465816" w:tentative="1">
      <w:start w:val="1"/>
      <w:numFmt w:val="bullet"/>
      <w:lvlText w:val="•"/>
      <w:lvlJc w:val="left"/>
      <w:pPr>
        <w:tabs>
          <w:tab w:val="num" w:pos="4320"/>
        </w:tabs>
        <w:ind w:left="4320" w:hanging="360"/>
      </w:pPr>
      <w:rPr>
        <w:rFonts w:ascii="Arial" w:hAnsi="Arial" w:hint="default"/>
      </w:rPr>
    </w:lvl>
    <w:lvl w:ilvl="6" w:tplc="AFD63E86" w:tentative="1">
      <w:start w:val="1"/>
      <w:numFmt w:val="bullet"/>
      <w:lvlText w:val="•"/>
      <w:lvlJc w:val="left"/>
      <w:pPr>
        <w:tabs>
          <w:tab w:val="num" w:pos="5040"/>
        </w:tabs>
        <w:ind w:left="5040" w:hanging="360"/>
      </w:pPr>
      <w:rPr>
        <w:rFonts w:ascii="Arial" w:hAnsi="Arial" w:hint="default"/>
      </w:rPr>
    </w:lvl>
    <w:lvl w:ilvl="7" w:tplc="F708A2D2" w:tentative="1">
      <w:start w:val="1"/>
      <w:numFmt w:val="bullet"/>
      <w:lvlText w:val="•"/>
      <w:lvlJc w:val="left"/>
      <w:pPr>
        <w:tabs>
          <w:tab w:val="num" w:pos="5760"/>
        </w:tabs>
        <w:ind w:left="5760" w:hanging="360"/>
      </w:pPr>
      <w:rPr>
        <w:rFonts w:ascii="Arial" w:hAnsi="Arial" w:hint="default"/>
      </w:rPr>
    </w:lvl>
    <w:lvl w:ilvl="8" w:tplc="EB1E9376" w:tentative="1">
      <w:start w:val="1"/>
      <w:numFmt w:val="bullet"/>
      <w:lvlText w:val="•"/>
      <w:lvlJc w:val="left"/>
      <w:pPr>
        <w:tabs>
          <w:tab w:val="num" w:pos="6480"/>
        </w:tabs>
        <w:ind w:left="6480" w:hanging="360"/>
      </w:pPr>
      <w:rPr>
        <w:rFonts w:ascii="Arial" w:hAnsi="Arial" w:hint="default"/>
      </w:rPr>
    </w:lvl>
  </w:abstractNum>
  <w:abstractNum w:abstractNumId="74" w15:restartNumberingAfterBreak="0">
    <w:nsid w:val="6FA72D86"/>
    <w:multiLevelType w:val="hybridMultilevel"/>
    <w:tmpl w:val="B50AC53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5" w15:restartNumberingAfterBreak="0">
    <w:nsid w:val="707345CE"/>
    <w:multiLevelType w:val="hybridMultilevel"/>
    <w:tmpl w:val="CBE244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6" w15:restartNumberingAfterBreak="0">
    <w:nsid w:val="70A54A6E"/>
    <w:multiLevelType w:val="hybridMultilevel"/>
    <w:tmpl w:val="2B3C189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7" w15:restartNumberingAfterBreak="0">
    <w:nsid w:val="72A6238C"/>
    <w:multiLevelType w:val="hybridMultilevel"/>
    <w:tmpl w:val="B1B862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8" w15:restartNumberingAfterBreak="0">
    <w:nsid w:val="72BE2675"/>
    <w:multiLevelType w:val="hybridMultilevel"/>
    <w:tmpl w:val="073E4B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9" w15:restartNumberingAfterBreak="0">
    <w:nsid w:val="74011F40"/>
    <w:multiLevelType w:val="hybridMultilevel"/>
    <w:tmpl w:val="062075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0" w15:restartNumberingAfterBreak="0">
    <w:nsid w:val="748449A5"/>
    <w:multiLevelType w:val="hybridMultilevel"/>
    <w:tmpl w:val="6B10B72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1" w15:restartNumberingAfterBreak="0">
    <w:nsid w:val="758371C0"/>
    <w:multiLevelType w:val="hybridMultilevel"/>
    <w:tmpl w:val="33A486A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2" w15:restartNumberingAfterBreak="0">
    <w:nsid w:val="758D7C5C"/>
    <w:multiLevelType w:val="hybridMultilevel"/>
    <w:tmpl w:val="799498F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3" w15:restartNumberingAfterBreak="0">
    <w:nsid w:val="77F67654"/>
    <w:multiLevelType w:val="hybridMultilevel"/>
    <w:tmpl w:val="963E5D5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4" w15:restartNumberingAfterBreak="0">
    <w:nsid w:val="789C5232"/>
    <w:multiLevelType w:val="hybridMultilevel"/>
    <w:tmpl w:val="630C287E"/>
    <w:lvl w:ilvl="0" w:tplc="2BF24854">
      <w:start w:val="1"/>
      <w:numFmt w:val="decimal"/>
      <w:lvlText w:val="%1)"/>
      <w:lvlJc w:val="left"/>
      <w:pPr>
        <w:tabs>
          <w:tab w:val="num" w:pos="720"/>
        </w:tabs>
        <w:ind w:left="720" w:hanging="360"/>
      </w:pPr>
      <w:rPr>
        <w:rFonts w:hint="default"/>
      </w:rPr>
    </w:lvl>
    <w:lvl w:ilvl="1" w:tplc="5DC84016" w:tentative="1">
      <w:start w:val="1"/>
      <w:numFmt w:val="decimal"/>
      <w:lvlText w:val="%2."/>
      <w:lvlJc w:val="left"/>
      <w:pPr>
        <w:tabs>
          <w:tab w:val="num" w:pos="1440"/>
        </w:tabs>
        <w:ind w:left="1440" w:hanging="360"/>
      </w:pPr>
    </w:lvl>
    <w:lvl w:ilvl="2" w:tplc="079C412E" w:tentative="1">
      <w:start w:val="1"/>
      <w:numFmt w:val="decimal"/>
      <w:lvlText w:val="%3."/>
      <w:lvlJc w:val="left"/>
      <w:pPr>
        <w:tabs>
          <w:tab w:val="num" w:pos="2160"/>
        </w:tabs>
        <w:ind w:left="2160" w:hanging="360"/>
      </w:pPr>
    </w:lvl>
    <w:lvl w:ilvl="3" w:tplc="F1584E8C" w:tentative="1">
      <w:start w:val="1"/>
      <w:numFmt w:val="decimal"/>
      <w:lvlText w:val="%4."/>
      <w:lvlJc w:val="left"/>
      <w:pPr>
        <w:tabs>
          <w:tab w:val="num" w:pos="2880"/>
        </w:tabs>
        <w:ind w:left="2880" w:hanging="360"/>
      </w:pPr>
    </w:lvl>
    <w:lvl w:ilvl="4" w:tplc="C6486BAC" w:tentative="1">
      <w:start w:val="1"/>
      <w:numFmt w:val="decimal"/>
      <w:lvlText w:val="%5."/>
      <w:lvlJc w:val="left"/>
      <w:pPr>
        <w:tabs>
          <w:tab w:val="num" w:pos="3600"/>
        </w:tabs>
        <w:ind w:left="3600" w:hanging="360"/>
      </w:pPr>
    </w:lvl>
    <w:lvl w:ilvl="5" w:tplc="0994E644" w:tentative="1">
      <w:start w:val="1"/>
      <w:numFmt w:val="decimal"/>
      <w:lvlText w:val="%6."/>
      <w:lvlJc w:val="left"/>
      <w:pPr>
        <w:tabs>
          <w:tab w:val="num" w:pos="4320"/>
        </w:tabs>
        <w:ind w:left="4320" w:hanging="360"/>
      </w:pPr>
    </w:lvl>
    <w:lvl w:ilvl="6" w:tplc="4524D8EE" w:tentative="1">
      <w:start w:val="1"/>
      <w:numFmt w:val="decimal"/>
      <w:lvlText w:val="%7."/>
      <w:lvlJc w:val="left"/>
      <w:pPr>
        <w:tabs>
          <w:tab w:val="num" w:pos="5040"/>
        </w:tabs>
        <w:ind w:left="5040" w:hanging="360"/>
      </w:pPr>
    </w:lvl>
    <w:lvl w:ilvl="7" w:tplc="DAB6090A" w:tentative="1">
      <w:start w:val="1"/>
      <w:numFmt w:val="decimal"/>
      <w:lvlText w:val="%8."/>
      <w:lvlJc w:val="left"/>
      <w:pPr>
        <w:tabs>
          <w:tab w:val="num" w:pos="5760"/>
        </w:tabs>
        <w:ind w:left="5760" w:hanging="360"/>
      </w:pPr>
    </w:lvl>
    <w:lvl w:ilvl="8" w:tplc="3B20BB10" w:tentative="1">
      <w:start w:val="1"/>
      <w:numFmt w:val="decimal"/>
      <w:lvlText w:val="%9."/>
      <w:lvlJc w:val="left"/>
      <w:pPr>
        <w:tabs>
          <w:tab w:val="num" w:pos="6480"/>
        </w:tabs>
        <w:ind w:left="6480" w:hanging="360"/>
      </w:pPr>
    </w:lvl>
  </w:abstractNum>
  <w:abstractNum w:abstractNumId="85" w15:restartNumberingAfterBreak="0">
    <w:nsid w:val="7D5F6F78"/>
    <w:multiLevelType w:val="multilevel"/>
    <w:tmpl w:val="2C4CC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7D7309FE"/>
    <w:multiLevelType w:val="hybridMultilevel"/>
    <w:tmpl w:val="24AE6D7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7" w15:restartNumberingAfterBreak="0">
    <w:nsid w:val="7DDF29FE"/>
    <w:multiLevelType w:val="hybridMultilevel"/>
    <w:tmpl w:val="76AC0F50"/>
    <w:lvl w:ilvl="0" w:tplc="C5ACDA7A">
      <w:start w:val="1"/>
      <w:numFmt w:val="bullet"/>
      <w:lvlText w:val="•"/>
      <w:lvlJc w:val="left"/>
      <w:pPr>
        <w:ind w:left="1077" w:hanging="360"/>
      </w:pPr>
      <w:rPr>
        <w:rFonts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num w:numId="1" w16cid:durableId="1999265101">
    <w:abstractNumId w:val="26"/>
  </w:num>
  <w:num w:numId="2" w16cid:durableId="1825202109">
    <w:abstractNumId w:val="46"/>
  </w:num>
  <w:num w:numId="3" w16cid:durableId="554973154">
    <w:abstractNumId w:val="84"/>
  </w:num>
  <w:num w:numId="4" w16cid:durableId="313486115">
    <w:abstractNumId w:val="13"/>
  </w:num>
  <w:num w:numId="5" w16cid:durableId="46027381">
    <w:abstractNumId w:val="64"/>
  </w:num>
  <w:num w:numId="6" w16cid:durableId="1486507258">
    <w:abstractNumId w:val="41"/>
  </w:num>
  <w:num w:numId="7" w16cid:durableId="1979606088">
    <w:abstractNumId w:val="22"/>
  </w:num>
  <w:num w:numId="8" w16cid:durableId="2076121097">
    <w:abstractNumId w:val="29"/>
  </w:num>
  <w:num w:numId="9" w16cid:durableId="411775518">
    <w:abstractNumId w:val="33"/>
  </w:num>
  <w:num w:numId="10" w16cid:durableId="1382093332">
    <w:abstractNumId w:val="58"/>
  </w:num>
  <w:num w:numId="11" w16cid:durableId="972251694">
    <w:abstractNumId w:val="56"/>
  </w:num>
  <w:num w:numId="12" w16cid:durableId="679085671">
    <w:abstractNumId w:val="39"/>
  </w:num>
  <w:num w:numId="13" w16cid:durableId="1094663770">
    <w:abstractNumId w:val="48"/>
  </w:num>
  <w:num w:numId="14" w16cid:durableId="837160160">
    <w:abstractNumId w:val="86"/>
  </w:num>
  <w:num w:numId="15" w16cid:durableId="13966765">
    <w:abstractNumId w:val="52"/>
  </w:num>
  <w:num w:numId="16" w16cid:durableId="375546709">
    <w:abstractNumId w:val="2"/>
  </w:num>
  <w:num w:numId="17" w16cid:durableId="118645317">
    <w:abstractNumId w:val="73"/>
  </w:num>
  <w:num w:numId="18" w16cid:durableId="1138886706">
    <w:abstractNumId w:val="5"/>
  </w:num>
  <w:num w:numId="19" w16cid:durableId="96760142">
    <w:abstractNumId w:val="77"/>
  </w:num>
  <w:num w:numId="20" w16cid:durableId="1749502853">
    <w:abstractNumId w:val="11"/>
  </w:num>
  <w:num w:numId="21" w16cid:durableId="1880362414">
    <w:abstractNumId w:val="1"/>
  </w:num>
  <w:num w:numId="22" w16cid:durableId="1561942606">
    <w:abstractNumId w:val="68"/>
  </w:num>
  <w:num w:numId="23" w16cid:durableId="916399032">
    <w:abstractNumId w:val="59"/>
  </w:num>
  <w:num w:numId="24" w16cid:durableId="76707620">
    <w:abstractNumId w:val="44"/>
  </w:num>
  <w:num w:numId="25" w16cid:durableId="1416974860">
    <w:abstractNumId w:val="54"/>
  </w:num>
  <w:num w:numId="26" w16cid:durableId="956983793">
    <w:abstractNumId w:val="23"/>
  </w:num>
  <w:num w:numId="27" w16cid:durableId="344750483">
    <w:abstractNumId w:val="10"/>
  </w:num>
  <w:num w:numId="28" w16cid:durableId="1927571947">
    <w:abstractNumId w:val="70"/>
  </w:num>
  <w:num w:numId="29" w16cid:durableId="718746869">
    <w:abstractNumId w:val="79"/>
  </w:num>
  <w:num w:numId="30" w16cid:durableId="1725710921">
    <w:abstractNumId w:val="40"/>
  </w:num>
  <w:num w:numId="31" w16cid:durableId="907108885">
    <w:abstractNumId w:val="15"/>
  </w:num>
  <w:num w:numId="32" w16cid:durableId="1204055831">
    <w:abstractNumId w:val="55"/>
  </w:num>
  <w:num w:numId="33" w16cid:durableId="1715154071">
    <w:abstractNumId w:val="78"/>
  </w:num>
  <w:num w:numId="34" w16cid:durableId="1319190590">
    <w:abstractNumId w:val="67"/>
  </w:num>
  <w:num w:numId="35" w16cid:durableId="1472289147">
    <w:abstractNumId w:val="45"/>
  </w:num>
  <w:num w:numId="36" w16cid:durableId="432365989">
    <w:abstractNumId w:val="36"/>
  </w:num>
  <w:num w:numId="37" w16cid:durableId="169220156">
    <w:abstractNumId w:val="14"/>
  </w:num>
  <w:num w:numId="38" w16cid:durableId="1732341319">
    <w:abstractNumId w:val="12"/>
  </w:num>
  <w:num w:numId="39" w16cid:durableId="588539103">
    <w:abstractNumId w:val="35"/>
  </w:num>
  <w:num w:numId="40" w16cid:durableId="696081763">
    <w:abstractNumId w:val="72"/>
  </w:num>
  <w:num w:numId="41" w16cid:durableId="859659952">
    <w:abstractNumId w:val="83"/>
  </w:num>
  <w:num w:numId="42" w16cid:durableId="1846434022">
    <w:abstractNumId w:val="69"/>
  </w:num>
  <w:num w:numId="43" w16cid:durableId="1799568858">
    <w:abstractNumId w:val="51"/>
  </w:num>
  <w:num w:numId="44" w16cid:durableId="229968838">
    <w:abstractNumId w:val="27"/>
  </w:num>
  <w:num w:numId="45" w16cid:durableId="1717313171">
    <w:abstractNumId w:val="80"/>
  </w:num>
  <w:num w:numId="46" w16cid:durableId="1669208835">
    <w:abstractNumId w:val="57"/>
  </w:num>
  <w:num w:numId="47" w16cid:durableId="764812378">
    <w:abstractNumId w:val="62"/>
  </w:num>
  <w:num w:numId="48" w16cid:durableId="827205702">
    <w:abstractNumId w:val="75"/>
  </w:num>
  <w:num w:numId="49" w16cid:durableId="2107143900">
    <w:abstractNumId w:val="42"/>
  </w:num>
  <w:num w:numId="50" w16cid:durableId="1018121534">
    <w:abstractNumId w:val="50"/>
  </w:num>
  <w:num w:numId="51" w16cid:durableId="730882338">
    <w:abstractNumId w:val="3"/>
  </w:num>
  <w:num w:numId="52" w16cid:durableId="415444414">
    <w:abstractNumId w:val="32"/>
  </w:num>
  <w:num w:numId="53" w16cid:durableId="2142190673">
    <w:abstractNumId w:val="82"/>
  </w:num>
  <w:num w:numId="54" w16cid:durableId="614871349">
    <w:abstractNumId w:val="21"/>
  </w:num>
  <w:num w:numId="55" w16cid:durableId="838694874">
    <w:abstractNumId w:val="63"/>
  </w:num>
  <w:num w:numId="56" w16cid:durableId="976956362">
    <w:abstractNumId w:val="37"/>
  </w:num>
  <w:num w:numId="57" w16cid:durableId="485173478">
    <w:abstractNumId w:val="81"/>
  </w:num>
  <w:num w:numId="58" w16cid:durableId="103690666">
    <w:abstractNumId w:val="9"/>
  </w:num>
  <w:num w:numId="59" w16cid:durableId="2124759830">
    <w:abstractNumId w:val="16"/>
  </w:num>
  <w:num w:numId="60" w16cid:durableId="2000688239">
    <w:abstractNumId w:val="71"/>
  </w:num>
  <w:num w:numId="61" w16cid:durableId="1070425096">
    <w:abstractNumId w:val="4"/>
  </w:num>
  <w:num w:numId="62" w16cid:durableId="403376506">
    <w:abstractNumId w:val="60"/>
  </w:num>
  <w:num w:numId="63" w16cid:durableId="980697243">
    <w:abstractNumId w:val="34"/>
  </w:num>
  <w:num w:numId="64" w16cid:durableId="1852407619">
    <w:abstractNumId w:val="28"/>
  </w:num>
  <w:num w:numId="65" w16cid:durableId="337082712">
    <w:abstractNumId w:val="7"/>
  </w:num>
  <w:num w:numId="66" w16cid:durableId="1871184391">
    <w:abstractNumId w:val="43"/>
  </w:num>
  <w:num w:numId="67" w16cid:durableId="1470708984">
    <w:abstractNumId w:val="87"/>
  </w:num>
  <w:num w:numId="68" w16cid:durableId="1913931086">
    <w:abstractNumId w:val="47"/>
  </w:num>
  <w:num w:numId="69" w16cid:durableId="286929782">
    <w:abstractNumId w:val="66"/>
  </w:num>
  <w:num w:numId="70" w16cid:durableId="1047992399">
    <w:abstractNumId w:val="53"/>
  </w:num>
  <w:num w:numId="71" w16cid:durableId="194736964">
    <w:abstractNumId w:val="19"/>
  </w:num>
  <w:num w:numId="72" w16cid:durableId="1032540101">
    <w:abstractNumId w:val="30"/>
  </w:num>
  <w:num w:numId="73" w16cid:durableId="699429114">
    <w:abstractNumId w:val="65"/>
  </w:num>
  <w:num w:numId="74" w16cid:durableId="650866628">
    <w:abstractNumId w:val="25"/>
  </w:num>
  <w:num w:numId="75" w16cid:durableId="186993875">
    <w:abstractNumId w:val="0"/>
  </w:num>
  <w:num w:numId="76" w16cid:durableId="299655408">
    <w:abstractNumId w:val="38"/>
  </w:num>
  <w:num w:numId="77" w16cid:durableId="687298000">
    <w:abstractNumId w:val="61"/>
  </w:num>
  <w:num w:numId="78" w16cid:durableId="1821383962">
    <w:abstractNumId w:val="24"/>
  </w:num>
  <w:num w:numId="79" w16cid:durableId="885333653">
    <w:abstractNumId w:val="74"/>
  </w:num>
  <w:num w:numId="80" w16cid:durableId="1934895630">
    <w:abstractNumId w:val="18"/>
  </w:num>
  <w:num w:numId="81" w16cid:durableId="1320160861">
    <w:abstractNumId w:val="6"/>
  </w:num>
  <w:num w:numId="82" w16cid:durableId="989869759">
    <w:abstractNumId w:val="76"/>
  </w:num>
  <w:num w:numId="83" w16cid:durableId="2140805608">
    <w:abstractNumId w:val="20"/>
  </w:num>
  <w:num w:numId="84" w16cid:durableId="192109792">
    <w:abstractNumId w:val="49"/>
  </w:num>
  <w:num w:numId="85" w16cid:durableId="1841774493">
    <w:abstractNumId w:val="8"/>
  </w:num>
  <w:num w:numId="86" w16cid:durableId="778262167">
    <w:abstractNumId w:val="85"/>
  </w:num>
  <w:num w:numId="87" w16cid:durableId="1708868806">
    <w:abstractNumId w:val="31"/>
  </w:num>
  <w:num w:numId="88" w16cid:durableId="1675255808">
    <w:abstractNumId w:val="17"/>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2050"/>
  </w:hdrShapeDefaults>
  <w:footnotePr>
    <w:numStart w:val="2"/>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15F0"/>
    <w:rsid w:val="00007C80"/>
    <w:rsid w:val="0001416E"/>
    <w:rsid w:val="0001641B"/>
    <w:rsid w:val="0003004E"/>
    <w:rsid w:val="00041BAF"/>
    <w:rsid w:val="000546E7"/>
    <w:rsid w:val="00055E5D"/>
    <w:rsid w:val="00056C08"/>
    <w:rsid w:val="00061455"/>
    <w:rsid w:val="00062B7E"/>
    <w:rsid w:val="00067873"/>
    <w:rsid w:val="000770B5"/>
    <w:rsid w:val="00087C4D"/>
    <w:rsid w:val="0009777B"/>
    <w:rsid w:val="000A000A"/>
    <w:rsid w:val="000A44CB"/>
    <w:rsid w:val="000A48B9"/>
    <w:rsid w:val="000A6481"/>
    <w:rsid w:val="000B3475"/>
    <w:rsid w:val="000B6384"/>
    <w:rsid w:val="000C45C5"/>
    <w:rsid w:val="000D1891"/>
    <w:rsid w:val="000D3611"/>
    <w:rsid w:val="000D44AC"/>
    <w:rsid w:val="000D63F8"/>
    <w:rsid w:val="000E0AAB"/>
    <w:rsid w:val="000F01F4"/>
    <w:rsid w:val="000F35AA"/>
    <w:rsid w:val="000F3927"/>
    <w:rsid w:val="000F7D8F"/>
    <w:rsid w:val="001015ED"/>
    <w:rsid w:val="00101B3F"/>
    <w:rsid w:val="00104D4F"/>
    <w:rsid w:val="0012065F"/>
    <w:rsid w:val="0012465E"/>
    <w:rsid w:val="00132408"/>
    <w:rsid w:val="00145930"/>
    <w:rsid w:val="00146555"/>
    <w:rsid w:val="00146DDF"/>
    <w:rsid w:val="0014704E"/>
    <w:rsid w:val="00151452"/>
    <w:rsid w:val="001557A1"/>
    <w:rsid w:val="001659E5"/>
    <w:rsid w:val="00174309"/>
    <w:rsid w:val="0017636F"/>
    <w:rsid w:val="0018359E"/>
    <w:rsid w:val="00186726"/>
    <w:rsid w:val="00186777"/>
    <w:rsid w:val="001A3761"/>
    <w:rsid w:val="001A3CAC"/>
    <w:rsid w:val="001A3DD5"/>
    <w:rsid w:val="001B6C5D"/>
    <w:rsid w:val="001C608A"/>
    <w:rsid w:val="001F6231"/>
    <w:rsid w:val="002046D9"/>
    <w:rsid w:val="002049A6"/>
    <w:rsid w:val="00210618"/>
    <w:rsid w:val="00212FFA"/>
    <w:rsid w:val="002130F4"/>
    <w:rsid w:val="00213A3C"/>
    <w:rsid w:val="00234354"/>
    <w:rsid w:val="00242819"/>
    <w:rsid w:val="002437C0"/>
    <w:rsid w:val="00246CB1"/>
    <w:rsid w:val="00266A71"/>
    <w:rsid w:val="0027417D"/>
    <w:rsid w:val="00284105"/>
    <w:rsid w:val="002978B3"/>
    <w:rsid w:val="00297E1A"/>
    <w:rsid w:val="002A227C"/>
    <w:rsid w:val="002A333F"/>
    <w:rsid w:val="002A63C7"/>
    <w:rsid w:val="002B1800"/>
    <w:rsid w:val="002B64DE"/>
    <w:rsid w:val="002B7620"/>
    <w:rsid w:val="002C1D9B"/>
    <w:rsid w:val="002C238A"/>
    <w:rsid w:val="002C2F31"/>
    <w:rsid w:val="002D056C"/>
    <w:rsid w:val="002D158E"/>
    <w:rsid w:val="002D3525"/>
    <w:rsid w:val="002D7020"/>
    <w:rsid w:val="002E1F8D"/>
    <w:rsid w:val="002F4995"/>
    <w:rsid w:val="002F68AD"/>
    <w:rsid w:val="0030272C"/>
    <w:rsid w:val="00303920"/>
    <w:rsid w:val="003059FE"/>
    <w:rsid w:val="00305AEB"/>
    <w:rsid w:val="003071CA"/>
    <w:rsid w:val="00307FD1"/>
    <w:rsid w:val="00312DC1"/>
    <w:rsid w:val="00317562"/>
    <w:rsid w:val="003372E2"/>
    <w:rsid w:val="00341E89"/>
    <w:rsid w:val="003438EB"/>
    <w:rsid w:val="00345B07"/>
    <w:rsid w:val="00356F0B"/>
    <w:rsid w:val="003646F3"/>
    <w:rsid w:val="00385137"/>
    <w:rsid w:val="00394A48"/>
    <w:rsid w:val="00396E1E"/>
    <w:rsid w:val="003B58F8"/>
    <w:rsid w:val="003B6C9F"/>
    <w:rsid w:val="003D71FB"/>
    <w:rsid w:val="003E0FC4"/>
    <w:rsid w:val="003E3FCD"/>
    <w:rsid w:val="004035D2"/>
    <w:rsid w:val="0040517E"/>
    <w:rsid w:val="00411541"/>
    <w:rsid w:val="00413E64"/>
    <w:rsid w:val="00414BE3"/>
    <w:rsid w:val="004211AD"/>
    <w:rsid w:val="00426B12"/>
    <w:rsid w:val="00427485"/>
    <w:rsid w:val="004320C9"/>
    <w:rsid w:val="00434F95"/>
    <w:rsid w:val="0045286D"/>
    <w:rsid w:val="004611CC"/>
    <w:rsid w:val="00471E5B"/>
    <w:rsid w:val="00487337"/>
    <w:rsid w:val="00492E88"/>
    <w:rsid w:val="00493849"/>
    <w:rsid w:val="004C19E4"/>
    <w:rsid w:val="004C279D"/>
    <w:rsid w:val="004C4769"/>
    <w:rsid w:val="004D3868"/>
    <w:rsid w:val="004D4D5B"/>
    <w:rsid w:val="004D544F"/>
    <w:rsid w:val="004D65E7"/>
    <w:rsid w:val="004E66D1"/>
    <w:rsid w:val="004E6AE9"/>
    <w:rsid w:val="004F533C"/>
    <w:rsid w:val="00501A24"/>
    <w:rsid w:val="00510A5B"/>
    <w:rsid w:val="00521A15"/>
    <w:rsid w:val="00523AD9"/>
    <w:rsid w:val="0053704F"/>
    <w:rsid w:val="00537557"/>
    <w:rsid w:val="00537C94"/>
    <w:rsid w:val="00543034"/>
    <w:rsid w:val="00543704"/>
    <w:rsid w:val="00545091"/>
    <w:rsid w:val="005607F8"/>
    <w:rsid w:val="00583F22"/>
    <w:rsid w:val="00585CA1"/>
    <w:rsid w:val="005903B5"/>
    <w:rsid w:val="005923A1"/>
    <w:rsid w:val="00594626"/>
    <w:rsid w:val="00594A2A"/>
    <w:rsid w:val="00597398"/>
    <w:rsid w:val="005A3146"/>
    <w:rsid w:val="005A462E"/>
    <w:rsid w:val="005B068C"/>
    <w:rsid w:val="005C6B46"/>
    <w:rsid w:val="005C759A"/>
    <w:rsid w:val="005D6C6F"/>
    <w:rsid w:val="005E3AC9"/>
    <w:rsid w:val="005E4745"/>
    <w:rsid w:val="005E47F9"/>
    <w:rsid w:val="005E522B"/>
    <w:rsid w:val="005E70AD"/>
    <w:rsid w:val="005F78EE"/>
    <w:rsid w:val="006249E3"/>
    <w:rsid w:val="00625634"/>
    <w:rsid w:val="00625C33"/>
    <w:rsid w:val="00627E0F"/>
    <w:rsid w:val="006316B9"/>
    <w:rsid w:val="00650D00"/>
    <w:rsid w:val="00653373"/>
    <w:rsid w:val="00657E12"/>
    <w:rsid w:val="00672D71"/>
    <w:rsid w:val="00674665"/>
    <w:rsid w:val="00677554"/>
    <w:rsid w:val="006779A7"/>
    <w:rsid w:val="0068079D"/>
    <w:rsid w:val="00681FA7"/>
    <w:rsid w:val="0069075A"/>
    <w:rsid w:val="0069364A"/>
    <w:rsid w:val="006A1630"/>
    <w:rsid w:val="006A1803"/>
    <w:rsid w:val="006A3FD9"/>
    <w:rsid w:val="006A69A9"/>
    <w:rsid w:val="006B336F"/>
    <w:rsid w:val="006C064B"/>
    <w:rsid w:val="006C3A92"/>
    <w:rsid w:val="006D6347"/>
    <w:rsid w:val="006D7C76"/>
    <w:rsid w:val="006F080E"/>
    <w:rsid w:val="006F58FD"/>
    <w:rsid w:val="0070184A"/>
    <w:rsid w:val="007045E7"/>
    <w:rsid w:val="00705DB6"/>
    <w:rsid w:val="00711461"/>
    <w:rsid w:val="00711F02"/>
    <w:rsid w:val="00713AAA"/>
    <w:rsid w:val="007214C7"/>
    <w:rsid w:val="007263E6"/>
    <w:rsid w:val="007314E0"/>
    <w:rsid w:val="00734FA8"/>
    <w:rsid w:val="007374E1"/>
    <w:rsid w:val="0074284E"/>
    <w:rsid w:val="007449C0"/>
    <w:rsid w:val="007568F3"/>
    <w:rsid w:val="007604F5"/>
    <w:rsid w:val="007630E9"/>
    <w:rsid w:val="00763344"/>
    <w:rsid w:val="00763579"/>
    <w:rsid w:val="00770F68"/>
    <w:rsid w:val="00780B7A"/>
    <w:rsid w:val="0078665B"/>
    <w:rsid w:val="007C09A2"/>
    <w:rsid w:val="007D64C5"/>
    <w:rsid w:val="007E2E8D"/>
    <w:rsid w:val="007E7AA5"/>
    <w:rsid w:val="007E7BE0"/>
    <w:rsid w:val="007F010B"/>
    <w:rsid w:val="00817BF9"/>
    <w:rsid w:val="008201A2"/>
    <w:rsid w:val="00825B60"/>
    <w:rsid w:val="00846BF5"/>
    <w:rsid w:val="008475B0"/>
    <w:rsid w:val="00847FBE"/>
    <w:rsid w:val="00853D16"/>
    <w:rsid w:val="00860024"/>
    <w:rsid w:val="0086012C"/>
    <w:rsid w:val="008637D4"/>
    <w:rsid w:val="00870F64"/>
    <w:rsid w:val="00872C82"/>
    <w:rsid w:val="00874952"/>
    <w:rsid w:val="00876006"/>
    <w:rsid w:val="00884454"/>
    <w:rsid w:val="00897A63"/>
    <w:rsid w:val="00897F4E"/>
    <w:rsid w:val="008D15F0"/>
    <w:rsid w:val="008E0E98"/>
    <w:rsid w:val="008E1965"/>
    <w:rsid w:val="008F05E8"/>
    <w:rsid w:val="008F0A9F"/>
    <w:rsid w:val="008F0B00"/>
    <w:rsid w:val="00904DB1"/>
    <w:rsid w:val="009273D8"/>
    <w:rsid w:val="009274D2"/>
    <w:rsid w:val="00930CB7"/>
    <w:rsid w:val="00931F6F"/>
    <w:rsid w:val="009334AB"/>
    <w:rsid w:val="0094367F"/>
    <w:rsid w:val="0095381A"/>
    <w:rsid w:val="009702C3"/>
    <w:rsid w:val="00976376"/>
    <w:rsid w:val="009832E0"/>
    <w:rsid w:val="009839E1"/>
    <w:rsid w:val="00983CA6"/>
    <w:rsid w:val="00984CE0"/>
    <w:rsid w:val="009B2302"/>
    <w:rsid w:val="009C2D97"/>
    <w:rsid w:val="009C3E37"/>
    <w:rsid w:val="009D48AC"/>
    <w:rsid w:val="009D5EC0"/>
    <w:rsid w:val="009D5F9B"/>
    <w:rsid w:val="009E057D"/>
    <w:rsid w:val="009E7D91"/>
    <w:rsid w:val="009F0C20"/>
    <w:rsid w:val="009F6484"/>
    <w:rsid w:val="00A024E7"/>
    <w:rsid w:val="00A0455F"/>
    <w:rsid w:val="00A07C06"/>
    <w:rsid w:val="00A161BA"/>
    <w:rsid w:val="00A3399D"/>
    <w:rsid w:val="00A3489E"/>
    <w:rsid w:val="00A65489"/>
    <w:rsid w:val="00A66F7E"/>
    <w:rsid w:val="00A77611"/>
    <w:rsid w:val="00A832C9"/>
    <w:rsid w:val="00A83D38"/>
    <w:rsid w:val="00A93C9B"/>
    <w:rsid w:val="00AB1FE0"/>
    <w:rsid w:val="00AC045F"/>
    <w:rsid w:val="00AC2132"/>
    <w:rsid w:val="00AC5BEC"/>
    <w:rsid w:val="00AE3D6F"/>
    <w:rsid w:val="00AE7B96"/>
    <w:rsid w:val="00AF337F"/>
    <w:rsid w:val="00B1002C"/>
    <w:rsid w:val="00B14CAA"/>
    <w:rsid w:val="00B204B7"/>
    <w:rsid w:val="00B41642"/>
    <w:rsid w:val="00B42A45"/>
    <w:rsid w:val="00B444CF"/>
    <w:rsid w:val="00B54122"/>
    <w:rsid w:val="00B54377"/>
    <w:rsid w:val="00B616B9"/>
    <w:rsid w:val="00B63A21"/>
    <w:rsid w:val="00B67C9A"/>
    <w:rsid w:val="00B726B9"/>
    <w:rsid w:val="00B760F9"/>
    <w:rsid w:val="00B81AAC"/>
    <w:rsid w:val="00B90429"/>
    <w:rsid w:val="00B92C8A"/>
    <w:rsid w:val="00BA6C6D"/>
    <w:rsid w:val="00BA7C2C"/>
    <w:rsid w:val="00BB14C0"/>
    <w:rsid w:val="00BB5F12"/>
    <w:rsid w:val="00BC2F16"/>
    <w:rsid w:val="00BD0AC3"/>
    <w:rsid w:val="00BD0D65"/>
    <w:rsid w:val="00BF090B"/>
    <w:rsid w:val="00BF54F0"/>
    <w:rsid w:val="00C00A4F"/>
    <w:rsid w:val="00C060FA"/>
    <w:rsid w:val="00C06447"/>
    <w:rsid w:val="00C10DD5"/>
    <w:rsid w:val="00C11BE7"/>
    <w:rsid w:val="00C20BF9"/>
    <w:rsid w:val="00C231BC"/>
    <w:rsid w:val="00C52BFE"/>
    <w:rsid w:val="00C54340"/>
    <w:rsid w:val="00C5577E"/>
    <w:rsid w:val="00C60A67"/>
    <w:rsid w:val="00C610D4"/>
    <w:rsid w:val="00C63C14"/>
    <w:rsid w:val="00C72F88"/>
    <w:rsid w:val="00C7751D"/>
    <w:rsid w:val="00C91E55"/>
    <w:rsid w:val="00C955D9"/>
    <w:rsid w:val="00CA0F3F"/>
    <w:rsid w:val="00CC37E4"/>
    <w:rsid w:val="00CE0112"/>
    <w:rsid w:val="00CE02BF"/>
    <w:rsid w:val="00CE3804"/>
    <w:rsid w:val="00CE4133"/>
    <w:rsid w:val="00CE438F"/>
    <w:rsid w:val="00CE6B11"/>
    <w:rsid w:val="00CE7230"/>
    <w:rsid w:val="00CF34D9"/>
    <w:rsid w:val="00D0228C"/>
    <w:rsid w:val="00D176D8"/>
    <w:rsid w:val="00D20B32"/>
    <w:rsid w:val="00D339D4"/>
    <w:rsid w:val="00D43302"/>
    <w:rsid w:val="00D477C0"/>
    <w:rsid w:val="00D50127"/>
    <w:rsid w:val="00D51747"/>
    <w:rsid w:val="00D543FD"/>
    <w:rsid w:val="00D618B2"/>
    <w:rsid w:val="00D65E19"/>
    <w:rsid w:val="00D73AB4"/>
    <w:rsid w:val="00D749C7"/>
    <w:rsid w:val="00D8143D"/>
    <w:rsid w:val="00D84FA4"/>
    <w:rsid w:val="00D93F4D"/>
    <w:rsid w:val="00DB1506"/>
    <w:rsid w:val="00DB25C9"/>
    <w:rsid w:val="00DB7586"/>
    <w:rsid w:val="00DD2A43"/>
    <w:rsid w:val="00DD44B1"/>
    <w:rsid w:val="00DD60A5"/>
    <w:rsid w:val="00DD64F2"/>
    <w:rsid w:val="00DE3F19"/>
    <w:rsid w:val="00DE450E"/>
    <w:rsid w:val="00DE4903"/>
    <w:rsid w:val="00DE6CE4"/>
    <w:rsid w:val="00DF2515"/>
    <w:rsid w:val="00E0466A"/>
    <w:rsid w:val="00E1166B"/>
    <w:rsid w:val="00E1170B"/>
    <w:rsid w:val="00E17058"/>
    <w:rsid w:val="00E208F7"/>
    <w:rsid w:val="00E22CE6"/>
    <w:rsid w:val="00E24EBE"/>
    <w:rsid w:val="00E5642A"/>
    <w:rsid w:val="00E653EA"/>
    <w:rsid w:val="00E74279"/>
    <w:rsid w:val="00E873AF"/>
    <w:rsid w:val="00E87C17"/>
    <w:rsid w:val="00E87D45"/>
    <w:rsid w:val="00EB5021"/>
    <w:rsid w:val="00EB5D88"/>
    <w:rsid w:val="00EB7BB2"/>
    <w:rsid w:val="00EC240F"/>
    <w:rsid w:val="00EC3187"/>
    <w:rsid w:val="00EC3B88"/>
    <w:rsid w:val="00ED42E6"/>
    <w:rsid w:val="00ED467F"/>
    <w:rsid w:val="00EE01F0"/>
    <w:rsid w:val="00EE3D4B"/>
    <w:rsid w:val="00EF3806"/>
    <w:rsid w:val="00EF4286"/>
    <w:rsid w:val="00F10C4A"/>
    <w:rsid w:val="00F118B0"/>
    <w:rsid w:val="00F12185"/>
    <w:rsid w:val="00F14083"/>
    <w:rsid w:val="00F17788"/>
    <w:rsid w:val="00F20613"/>
    <w:rsid w:val="00F229AA"/>
    <w:rsid w:val="00F4483B"/>
    <w:rsid w:val="00F44F66"/>
    <w:rsid w:val="00F52714"/>
    <w:rsid w:val="00F62E40"/>
    <w:rsid w:val="00F754E6"/>
    <w:rsid w:val="00F8347E"/>
    <w:rsid w:val="00F85041"/>
    <w:rsid w:val="00FA41DB"/>
    <w:rsid w:val="00FA57F7"/>
    <w:rsid w:val="00FB1FE8"/>
    <w:rsid w:val="00FE6F82"/>
    <w:rsid w:val="00FF5708"/>
    <w:rsid w:val="00FF5B7E"/>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9ECC5B6"/>
  <w14:defaultImageDpi w14:val="300"/>
  <w15:docId w15:val="{A08EFFEB-4285-4BEE-91AE-9EA9E44B3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2"/>
        <w:szCs w:val="22"/>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214C7"/>
    <w:pPr>
      <w:spacing w:after="200" w:line="360" w:lineRule="auto"/>
      <w:jc w:val="both"/>
    </w:pPr>
    <w:rPr>
      <w:rFonts w:ascii="Tahoma" w:eastAsia="Times New Roman" w:hAnsi="Tahoma"/>
      <w:sz w:val="20"/>
      <w:szCs w:val="24"/>
    </w:rPr>
  </w:style>
  <w:style w:type="paragraph" w:styleId="Titolo1">
    <w:name w:val="heading 1"/>
    <w:aliases w:val="CAPITOLO"/>
    <w:basedOn w:val="Normale"/>
    <w:next w:val="Normale"/>
    <w:link w:val="Titolo1Carattere"/>
    <w:uiPriority w:val="9"/>
    <w:qFormat/>
    <w:rsid w:val="00CE4133"/>
    <w:pPr>
      <w:keepNext/>
      <w:keepLines/>
      <w:spacing w:line="312" w:lineRule="auto"/>
      <w:jc w:val="center"/>
      <w:outlineLvl w:val="0"/>
    </w:pPr>
    <w:rPr>
      <w:b/>
      <w:bCs/>
      <w:color w:val="404040"/>
      <w:sz w:val="32"/>
      <w:szCs w:val="28"/>
    </w:rPr>
  </w:style>
  <w:style w:type="paragraph" w:styleId="Titolo2">
    <w:name w:val="heading 2"/>
    <w:basedOn w:val="Normale"/>
    <w:next w:val="Normale"/>
    <w:link w:val="Titolo2Carattere"/>
    <w:uiPriority w:val="9"/>
    <w:unhideWhenUsed/>
    <w:qFormat/>
    <w:rsid w:val="008D15F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4">
    <w:name w:val="heading 4"/>
    <w:basedOn w:val="Normale"/>
    <w:next w:val="Normale"/>
    <w:link w:val="Titolo4Carattere"/>
    <w:uiPriority w:val="9"/>
    <w:semiHidden/>
    <w:unhideWhenUsed/>
    <w:qFormat/>
    <w:rsid w:val="008D15F0"/>
    <w:pPr>
      <w:keepNext/>
      <w:keepLines/>
      <w:spacing w:before="200"/>
      <w:outlineLvl w:val="3"/>
    </w:pPr>
    <w:rPr>
      <w:rFonts w:asciiTheme="majorHAnsi" w:eastAsiaTheme="majorEastAsia" w:hAnsiTheme="majorHAnsi" w:cstheme="majorBidi"/>
      <w:b/>
      <w:bCs/>
      <w:i/>
      <w:i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aliases w:val="CAPITOLO Carattere"/>
    <w:basedOn w:val="Carpredefinitoparagrafo"/>
    <w:link w:val="Titolo1"/>
    <w:uiPriority w:val="9"/>
    <w:rsid w:val="00CE4133"/>
    <w:rPr>
      <w:rFonts w:ascii="Tahoma" w:eastAsia="Times New Roman" w:hAnsi="Tahoma"/>
      <w:b/>
      <w:bCs/>
      <w:color w:val="404040"/>
      <w:sz w:val="32"/>
      <w:szCs w:val="28"/>
    </w:rPr>
  </w:style>
  <w:style w:type="character" w:customStyle="1" w:styleId="Titolo2Carattere">
    <w:name w:val="Titolo 2 Carattere"/>
    <w:basedOn w:val="Carpredefinitoparagrafo"/>
    <w:link w:val="Titolo2"/>
    <w:uiPriority w:val="9"/>
    <w:rsid w:val="008D15F0"/>
    <w:rPr>
      <w:rFonts w:asciiTheme="majorHAnsi" w:eastAsiaTheme="majorEastAsia" w:hAnsiTheme="majorHAnsi" w:cstheme="majorBidi"/>
      <w:b/>
      <w:bCs/>
      <w:color w:val="4F81BD" w:themeColor="accent1"/>
      <w:sz w:val="26"/>
      <w:szCs w:val="26"/>
    </w:rPr>
  </w:style>
  <w:style w:type="character" w:customStyle="1" w:styleId="Titolo4Carattere">
    <w:name w:val="Titolo 4 Carattere"/>
    <w:basedOn w:val="Carpredefinitoparagrafo"/>
    <w:link w:val="Titolo4"/>
    <w:uiPriority w:val="9"/>
    <w:semiHidden/>
    <w:rsid w:val="008D15F0"/>
    <w:rPr>
      <w:rFonts w:asciiTheme="majorHAnsi" w:eastAsiaTheme="majorEastAsia" w:hAnsiTheme="majorHAnsi" w:cstheme="majorBidi"/>
      <w:b/>
      <w:bCs/>
      <w:i/>
      <w:iCs/>
      <w:color w:val="4F81BD" w:themeColor="accent1"/>
    </w:rPr>
  </w:style>
  <w:style w:type="paragraph" w:styleId="Intestazione">
    <w:name w:val="header"/>
    <w:basedOn w:val="Normale"/>
    <w:link w:val="IntestazioneCarattere"/>
    <w:uiPriority w:val="99"/>
    <w:rsid w:val="008D15F0"/>
    <w:pPr>
      <w:tabs>
        <w:tab w:val="center" w:pos="4819"/>
        <w:tab w:val="right" w:pos="9638"/>
      </w:tabs>
    </w:pPr>
  </w:style>
  <w:style w:type="character" w:customStyle="1" w:styleId="IntestazioneCarattere">
    <w:name w:val="Intestazione Carattere"/>
    <w:basedOn w:val="Carpredefinitoparagrafo"/>
    <w:link w:val="Intestazione"/>
    <w:uiPriority w:val="99"/>
    <w:rsid w:val="008D15F0"/>
    <w:rPr>
      <w:rFonts w:ascii="Calibri" w:eastAsia="Times New Roman" w:hAnsi="Calibri"/>
    </w:rPr>
  </w:style>
  <w:style w:type="paragraph" w:styleId="Pidipagina">
    <w:name w:val="footer"/>
    <w:basedOn w:val="Normale"/>
    <w:link w:val="PidipaginaCarattere"/>
    <w:uiPriority w:val="99"/>
    <w:rsid w:val="008D15F0"/>
    <w:pPr>
      <w:tabs>
        <w:tab w:val="center" w:pos="4819"/>
        <w:tab w:val="right" w:pos="9638"/>
      </w:tabs>
    </w:pPr>
  </w:style>
  <w:style w:type="character" w:customStyle="1" w:styleId="PidipaginaCarattere">
    <w:name w:val="Piè di pagina Carattere"/>
    <w:basedOn w:val="Carpredefinitoparagrafo"/>
    <w:link w:val="Pidipagina"/>
    <w:uiPriority w:val="99"/>
    <w:rsid w:val="008D15F0"/>
    <w:rPr>
      <w:rFonts w:ascii="Calibri" w:eastAsia="Times New Roman" w:hAnsi="Calibri"/>
    </w:rPr>
  </w:style>
  <w:style w:type="character" w:styleId="Collegamentoipertestuale">
    <w:name w:val="Hyperlink"/>
    <w:uiPriority w:val="99"/>
    <w:rsid w:val="008D15F0"/>
    <w:rPr>
      <w:rFonts w:cs="Times New Roman"/>
      <w:color w:val="0000FF"/>
      <w:u w:val="single"/>
    </w:rPr>
  </w:style>
  <w:style w:type="character" w:styleId="Numeropagina">
    <w:name w:val="page number"/>
    <w:basedOn w:val="Carpredefinitoparagrafo"/>
    <w:rsid w:val="008D15F0"/>
  </w:style>
  <w:style w:type="paragraph" w:customStyle="1" w:styleId="Stile1">
    <w:name w:val="Stile1"/>
    <w:basedOn w:val="Titolo"/>
    <w:qFormat/>
    <w:rsid w:val="008D15F0"/>
    <w:pPr>
      <w:pBdr>
        <w:bottom w:val="single" w:sz="8" w:space="4" w:color="2DA2BF"/>
      </w:pBdr>
    </w:pPr>
    <w:rPr>
      <w:rFonts w:ascii="Tahoma" w:eastAsia="Times New Roman" w:hAnsi="Tahoma" w:cs="Times New Roman"/>
      <w:color w:val="343434"/>
      <w:sz w:val="26"/>
    </w:rPr>
  </w:style>
  <w:style w:type="paragraph" w:styleId="Titolo">
    <w:name w:val="Title"/>
    <w:basedOn w:val="Normale"/>
    <w:next w:val="Normale"/>
    <w:link w:val="TitoloCarattere"/>
    <w:uiPriority w:val="10"/>
    <w:qFormat/>
    <w:rsid w:val="008D15F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oloCarattere">
    <w:name w:val="Titolo Carattere"/>
    <w:basedOn w:val="Carpredefinitoparagrafo"/>
    <w:link w:val="Titolo"/>
    <w:uiPriority w:val="10"/>
    <w:rsid w:val="008D15F0"/>
    <w:rPr>
      <w:rFonts w:asciiTheme="majorHAnsi" w:eastAsiaTheme="majorEastAsia" w:hAnsiTheme="majorHAnsi" w:cstheme="majorBidi"/>
      <w:color w:val="17365D" w:themeColor="text2" w:themeShade="BF"/>
      <w:spacing w:val="5"/>
      <w:kern w:val="28"/>
      <w:sz w:val="52"/>
      <w:szCs w:val="52"/>
    </w:rPr>
  </w:style>
  <w:style w:type="paragraph" w:styleId="Sommario1">
    <w:name w:val="toc 1"/>
    <w:basedOn w:val="Normale"/>
    <w:next w:val="Normale"/>
    <w:autoRedefine/>
    <w:uiPriority w:val="39"/>
    <w:rsid w:val="00C10DD5"/>
    <w:pPr>
      <w:tabs>
        <w:tab w:val="right" w:leader="dot" w:pos="9214"/>
      </w:tabs>
      <w:spacing w:before="60" w:after="60" w:line="326" w:lineRule="auto"/>
    </w:pPr>
    <w:rPr>
      <w:rFonts w:cs="Tahoma"/>
      <w:b/>
      <w:noProof/>
      <w:szCs w:val="20"/>
    </w:rPr>
  </w:style>
  <w:style w:type="paragraph" w:styleId="Sottotitolo">
    <w:name w:val="Subtitle"/>
    <w:aliases w:val="PARAGRAFO"/>
    <w:basedOn w:val="Normale"/>
    <w:next w:val="Normale"/>
    <w:link w:val="SottotitoloCarattere"/>
    <w:uiPriority w:val="11"/>
    <w:qFormat/>
    <w:rsid w:val="007214C7"/>
    <w:pPr>
      <w:numPr>
        <w:ilvl w:val="1"/>
      </w:numPr>
    </w:pPr>
    <w:rPr>
      <w:b/>
      <w:iCs/>
      <w:color w:val="404040"/>
      <w:spacing w:val="15"/>
      <w:sz w:val="22"/>
      <w:u w:val="single"/>
    </w:rPr>
  </w:style>
  <w:style w:type="character" w:customStyle="1" w:styleId="SottotitoloCarattere">
    <w:name w:val="Sottotitolo Carattere"/>
    <w:aliases w:val="PARAGRAFO Carattere"/>
    <w:basedOn w:val="Carpredefinitoparagrafo"/>
    <w:link w:val="Sottotitolo"/>
    <w:uiPriority w:val="11"/>
    <w:rsid w:val="007214C7"/>
    <w:rPr>
      <w:rFonts w:ascii="Tahoma" w:eastAsia="Times New Roman" w:hAnsi="Tahoma"/>
      <w:b/>
      <w:iCs/>
      <w:color w:val="404040"/>
      <w:spacing w:val="15"/>
      <w:szCs w:val="24"/>
      <w:u w:val="single"/>
    </w:rPr>
  </w:style>
  <w:style w:type="paragraph" w:styleId="Paragrafoelenco">
    <w:name w:val="List Paragraph"/>
    <w:basedOn w:val="Normale"/>
    <w:uiPriority w:val="34"/>
    <w:qFormat/>
    <w:rsid w:val="008D15F0"/>
    <w:pPr>
      <w:ind w:left="720"/>
      <w:contextualSpacing/>
    </w:pPr>
  </w:style>
  <w:style w:type="character" w:styleId="Titolodellibro">
    <w:name w:val="Book Title"/>
    <w:aliases w:val="SOTTOPARAGRAFO"/>
    <w:uiPriority w:val="33"/>
    <w:qFormat/>
    <w:rsid w:val="008D15F0"/>
    <w:rPr>
      <w:rFonts w:ascii="Tahoma" w:hAnsi="Tahoma"/>
      <w:b/>
      <w:bCs/>
      <w:i/>
      <w:caps w:val="0"/>
      <w:smallCaps w:val="0"/>
      <w:spacing w:val="5"/>
      <w:sz w:val="20"/>
    </w:rPr>
  </w:style>
  <w:style w:type="paragraph" w:styleId="Sommario2">
    <w:name w:val="toc 2"/>
    <w:basedOn w:val="Normale"/>
    <w:next w:val="Normale"/>
    <w:autoRedefine/>
    <w:uiPriority w:val="39"/>
    <w:rsid w:val="008D15F0"/>
    <w:pPr>
      <w:ind w:left="220"/>
    </w:pPr>
  </w:style>
  <w:style w:type="paragraph" w:styleId="Sommario3">
    <w:name w:val="toc 3"/>
    <w:basedOn w:val="Normale"/>
    <w:next w:val="Normale"/>
    <w:autoRedefine/>
    <w:uiPriority w:val="39"/>
    <w:rsid w:val="008D15F0"/>
    <w:pPr>
      <w:tabs>
        <w:tab w:val="right" w:leader="dot" w:pos="9202"/>
      </w:tabs>
      <w:ind w:left="440"/>
    </w:pPr>
    <w:rPr>
      <w:rFonts w:cs="Tahoma"/>
      <w:i/>
      <w:noProof/>
      <w:szCs w:val="20"/>
    </w:rPr>
  </w:style>
  <w:style w:type="paragraph" w:customStyle="1" w:styleId="NUOVOSOTTOPARAGRAFO">
    <w:name w:val="NUOVOSOTTOPARAGRAFO"/>
    <w:basedOn w:val="Normale"/>
    <w:next w:val="Normale"/>
    <w:link w:val="NUOVOSOTTOPARAGRAFOCarattere"/>
    <w:qFormat/>
    <w:rsid w:val="008D15F0"/>
    <w:pPr>
      <w:tabs>
        <w:tab w:val="left" w:pos="7371"/>
        <w:tab w:val="right" w:pos="8080"/>
      </w:tabs>
    </w:pPr>
    <w:rPr>
      <w:b/>
      <w:i/>
    </w:rPr>
  </w:style>
  <w:style w:type="character" w:customStyle="1" w:styleId="NUOVOSOTTOPARAGRAFOCarattere">
    <w:name w:val="NUOVOSOTTOPARAGRAFO Carattere"/>
    <w:link w:val="NUOVOSOTTOPARAGRAFO"/>
    <w:rsid w:val="008D15F0"/>
    <w:rPr>
      <w:rFonts w:ascii="Tahoma" w:eastAsia="Times New Roman" w:hAnsi="Tahoma"/>
      <w:b/>
      <w:i/>
      <w:sz w:val="20"/>
    </w:rPr>
  </w:style>
  <w:style w:type="paragraph" w:styleId="Testonotadichiusura">
    <w:name w:val="endnote text"/>
    <w:basedOn w:val="Normale"/>
    <w:link w:val="TestonotadichiusuraCarattere"/>
    <w:rsid w:val="008D15F0"/>
    <w:rPr>
      <w:szCs w:val="20"/>
    </w:rPr>
  </w:style>
  <w:style w:type="character" w:customStyle="1" w:styleId="TestonotadichiusuraCarattere">
    <w:name w:val="Testo nota di chiusura Carattere"/>
    <w:basedOn w:val="Carpredefinitoparagrafo"/>
    <w:link w:val="Testonotadichiusura"/>
    <w:rsid w:val="008D15F0"/>
    <w:rPr>
      <w:rFonts w:eastAsia="Times New Roman"/>
      <w:sz w:val="20"/>
      <w:szCs w:val="20"/>
    </w:rPr>
  </w:style>
  <w:style w:type="table" w:customStyle="1" w:styleId="TableNormal">
    <w:name w:val="Table Normal"/>
    <w:uiPriority w:val="2"/>
    <w:semiHidden/>
    <w:unhideWhenUsed/>
    <w:qFormat/>
    <w:rsid w:val="008D15F0"/>
    <w:pPr>
      <w:widowControl w:val="0"/>
      <w:autoSpaceDE w:val="0"/>
      <w:autoSpaceDN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styleId="Corpotesto">
    <w:name w:val="Body Text"/>
    <w:basedOn w:val="Normale"/>
    <w:link w:val="CorpotestoCarattere"/>
    <w:uiPriority w:val="1"/>
    <w:qFormat/>
    <w:rsid w:val="008D15F0"/>
    <w:pPr>
      <w:widowControl w:val="0"/>
      <w:autoSpaceDE w:val="0"/>
      <w:autoSpaceDN w:val="0"/>
    </w:pPr>
    <w:rPr>
      <w:sz w:val="18"/>
      <w:szCs w:val="18"/>
      <w:lang w:val="en-US" w:eastAsia="en-US"/>
    </w:rPr>
  </w:style>
  <w:style w:type="character" w:customStyle="1" w:styleId="CorpotestoCarattere">
    <w:name w:val="Corpo testo Carattere"/>
    <w:basedOn w:val="Carpredefinitoparagrafo"/>
    <w:link w:val="Corpotesto"/>
    <w:uiPriority w:val="1"/>
    <w:rsid w:val="008D15F0"/>
    <w:rPr>
      <w:rFonts w:eastAsia="Times New Roman"/>
      <w:sz w:val="18"/>
      <w:szCs w:val="18"/>
      <w:lang w:val="en-US" w:eastAsia="en-US"/>
    </w:rPr>
  </w:style>
  <w:style w:type="paragraph" w:customStyle="1" w:styleId="TableParagraph">
    <w:name w:val="Table Paragraph"/>
    <w:basedOn w:val="Normale"/>
    <w:uiPriority w:val="1"/>
    <w:qFormat/>
    <w:rsid w:val="008D15F0"/>
    <w:pPr>
      <w:widowControl w:val="0"/>
      <w:autoSpaceDE w:val="0"/>
      <w:autoSpaceDN w:val="0"/>
      <w:ind w:left="85"/>
    </w:pPr>
    <w:rPr>
      <w:lang w:val="en-US" w:eastAsia="en-US"/>
    </w:rPr>
  </w:style>
  <w:style w:type="table" w:styleId="Grigliatabella">
    <w:name w:val="Table Grid"/>
    <w:basedOn w:val="Tabellanormale"/>
    <w:uiPriority w:val="59"/>
    <w:rsid w:val="008D15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notaapidipagina">
    <w:name w:val="footnote text"/>
    <w:basedOn w:val="Normale"/>
    <w:link w:val="TestonotaapidipaginaCarattere"/>
    <w:uiPriority w:val="99"/>
    <w:unhideWhenUsed/>
    <w:rsid w:val="008D15F0"/>
    <w:rPr>
      <w:szCs w:val="20"/>
    </w:rPr>
  </w:style>
  <w:style w:type="character" w:customStyle="1" w:styleId="TestonotaapidipaginaCarattere">
    <w:name w:val="Testo nota a piè di pagina Carattere"/>
    <w:basedOn w:val="Carpredefinitoparagrafo"/>
    <w:link w:val="Testonotaapidipagina"/>
    <w:uiPriority w:val="99"/>
    <w:rsid w:val="008D15F0"/>
    <w:rPr>
      <w:rFonts w:ascii="Calibri" w:eastAsia="Times New Roman" w:hAnsi="Calibri"/>
      <w:sz w:val="20"/>
      <w:szCs w:val="20"/>
    </w:rPr>
  </w:style>
  <w:style w:type="character" w:styleId="Rimandonotaapidipagina">
    <w:name w:val="footnote reference"/>
    <w:basedOn w:val="Carpredefinitoparagrafo"/>
    <w:uiPriority w:val="99"/>
    <w:unhideWhenUsed/>
    <w:rsid w:val="008D15F0"/>
    <w:rPr>
      <w:vertAlign w:val="superscript"/>
    </w:rPr>
  </w:style>
  <w:style w:type="paragraph" w:styleId="Testofumetto">
    <w:name w:val="Balloon Text"/>
    <w:basedOn w:val="Normale"/>
    <w:link w:val="TestofumettoCarattere"/>
    <w:uiPriority w:val="99"/>
    <w:semiHidden/>
    <w:unhideWhenUsed/>
    <w:rsid w:val="008D15F0"/>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8D15F0"/>
    <w:rPr>
      <w:rFonts w:ascii="Lucida Grande" w:eastAsia="Times New Roman" w:hAnsi="Lucida Grande" w:cs="Lucida Grande"/>
      <w:sz w:val="18"/>
      <w:szCs w:val="18"/>
    </w:rPr>
  </w:style>
  <w:style w:type="paragraph" w:customStyle="1" w:styleId="abstract">
    <w:name w:val="abstract"/>
    <w:basedOn w:val="Normale"/>
    <w:rsid w:val="008D15F0"/>
    <w:pPr>
      <w:spacing w:before="100" w:beforeAutospacing="1" w:after="100" w:afterAutospacing="1"/>
    </w:pPr>
    <w:rPr>
      <w:rFonts w:eastAsiaTheme="minorEastAsia"/>
      <w:szCs w:val="20"/>
    </w:rPr>
  </w:style>
  <w:style w:type="character" w:customStyle="1" w:styleId="apple-converted-space">
    <w:name w:val="apple-converted-space"/>
    <w:basedOn w:val="Carpredefinitoparagrafo"/>
    <w:rsid w:val="008D15F0"/>
  </w:style>
  <w:style w:type="character" w:styleId="Enfasigrassetto">
    <w:name w:val="Strong"/>
    <w:basedOn w:val="Carpredefinitoparagrafo"/>
    <w:uiPriority w:val="22"/>
    <w:qFormat/>
    <w:rsid w:val="008D15F0"/>
    <w:rPr>
      <w:b/>
      <w:bCs/>
    </w:rPr>
  </w:style>
  <w:style w:type="character" w:customStyle="1" w:styleId="linkarticolo">
    <w:name w:val="linkarticolo"/>
    <w:basedOn w:val="Carpredefinitoparagrafo"/>
    <w:rsid w:val="008D15F0"/>
  </w:style>
  <w:style w:type="paragraph" w:styleId="NormaleWeb">
    <w:name w:val="Normal (Web)"/>
    <w:basedOn w:val="Normale"/>
    <w:uiPriority w:val="99"/>
    <w:unhideWhenUsed/>
    <w:rsid w:val="008D15F0"/>
    <w:pPr>
      <w:spacing w:before="100" w:beforeAutospacing="1" w:after="100" w:afterAutospacing="1"/>
    </w:pPr>
    <w:rPr>
      <w:rFonts w:eastAsiaTheme="minorEastAsia"/>
      <w:szCs w:val="20"/>
    </w:rPr>
  </w:style>
  <w:style w:type="character" w:styleId="Enfasicorsivo">
    <w:name w:val="Emphasis"/>
    <w:basedOn w:val="Carpredefinitoparagrafo"/>
    <w:uiPriority w:val="20"/>
    <w:qFormat/>
    <w:rsid w:val="008D15F0"/>
    <w:rPr>
      <w:i/>
      <w:iCs/>
    </w:rPr>
  </w:style>
  <w:style w:type="character" w:styleId="Collegamentovisitato">
    <w:name w:val="FollowedHyperlink"/>
    <w:basedOn w:val="Carpredefinitoparagrafo"/>
    <w:uiPriority w:val="99"/>
    <w:semiHidden/>
    <w:unhideWhenUsed/>
    <w:rsid w:val="008D15F0"/>
    <w:rPr>
      <w:color w:val="800080" w:themeColor="followedHyperlink"/>
      <w:u w:val="single"/>
    </w:rPr>
  </w:style>
  <w:style w:type="paragraph" w:customStyle="1" w:styleId="author">
    <w:name w:val="author"/>
    <w:basedOn w:val="Normale"/>
    <w:rsid w:val="008D15F0"/>
    <w:pPr>
      <w:spacing w:before="100" w:beforeAutospacing="1" w:after="100" w:afterAutospacing="1"/>
    </w:pPr>
    <w:rPr>
      <w:rFonts w:eastAsiaTheme="minorEastAsia"/>
      <w:szCs w:val="20"/>
    </w:rPr>
  </w:style>
  <w:style w:type="paragraph" w:customStyle="1" w:styleId="uc-box-versione">
    <w:name w:val="uc-box-versione"/>
    <w:basedOn w:val="Normale"/>
    <w:rsid w:val="008D15F0"/>
    <w:pPr>
      <w:spacing w:before="100" w:beforeAutospacing="1" w:after="100" w:afterAutospacing="1"/>
    </w:pPr>
    <w:rPr>
      <w:rFonts w:eastAsiaTheme="minorEastAsia"/>
      <w:szCs w:val="20"/>
    </w:rPr>
  </w:style>
  <w:style w:type="character" w:customStyle="1" w:styleId="testo-note-sep">
    <w:name w:val="testo-note-sep"/>
    <w:basedOn w:val="Carpredefinitoparagrafo"/>
    <w:rsid w:val="008D15F0"/>
  </w:style>
  <w:style w:type="paragraph" w:styleId="Sommario4">
    <w:name w:val="toc 4"/>
    <w:basedOn w:val="Normale"/>
    <w:next w:val="Normale"/>
    <w:autoRedefine/>
    <w:uiPriority w:val="39"/>
    <w:unhideWhenUsed/>
    <w:rsid w:val="005C759A"/>
    <w:pPr>
      <w:spacing w:after="100"/>
      <w:ind w:left="720"/>
    </w:pPr>
    <w:rPr>
      <w:rFonts w:asciiTheme="minorHAnsi" w:eastAsiaTheme="minorEastAsia" w:hAnsiTheme="minorHAnsi" w:cstheme="minorBidi"/>
    </w:rPr>
  </w:style>
  <w:style w:type="paragraph" w:styleId="Sommario5">
    <w:name w:val="toc 5"/>
    <w:basedOn w:val="Normale"/>
    <w:next w:val="Normale"/>
    <w:autoRedefine/>
    <w:uiPriority w:val="39"/>
    <w:unhideWhenUsed/>
    <w:rsid w:val="005C759A"/>
    <w:pPr>
      <w:spacing w:after="100"/>
      <w:ind w:left="960"/>
    </w:pPr>
    <w:rPr>
      <w:rFonts w:asciiTheme="minorHAnsi" w:eastAsiaTheme="minorEastAsia" w:hAnsiTheme="minorHAnsi" w:cstheme="minorBidi"/>
    </w:rPr>
  </w:style>
  <w:style w:type="paragraph" w:styleId="Sommario6">
    <w:name w:val="toc 6"/>
    <w:basedOn w:val="Normale"/>
    <w:next w:val="Normale"/>
    <w:autoRedefine/>
    <w:uiPriority w:val="39"/>
    <w:unhideWhenUsed/>
    <w:rsid w:val="005C759A"/>
    <w:pPr>
      <w:spacing w:after="100"/>
      <w:ind w:left="1200"/>
    </w:pPr>
    <w:rPr>
      <w:rFonts w:asciiTheme="minorHAnsi" w:eastAsiaTheme="minorEastAsia" w:hAnsiTheme="minorHAnsi" w:cstheme="minorBidi"/>
    </w:rPr>
  </w:style>
  <w:style w:type="paragraph" w:styleId="Sommario7">
    <w:name w:val="toc 7"/>
    <w:basedOn w:val="Normale"/>
    <w:next w:val="Normale"/>
    <w:autoRedefine/>
    <w:uiPriority w:val="39"/>
    <w:unhideWhenUsed/>
    <w:rsid w:val="005C759A"/>
    <w:pPr>
      <w:spacing w:after="100"/>
      <w:ind w:left="1440"/>
    </w:pPr>
    <w:rPr>
      <w:rFonts w:asciiTheme="minorHAnsi" w:eastAsiaTheme="minorEastAsia" w:hAnsiTheme="minorHAnsi" w:cstheme="minorBidi"/>
    </w:rPr>
  </w:style>
  <w:style w:type="paragraph" w:styleId="Sommario8">
    <w:name w:val="toc 8"/>
    <w:basedOn w:val="Normale"/>
    <w:next w:val="Normale"/>
    <w:autoRedefine/>
    <w:uiPriority w:val="39"/>
    <w:unhideWhenUsed/>
    <w:rsid w:val="005C759A"/>
    <w:pPr>
      <w:spacing w:after="100"/>
      <w:ind w:left="1680"/>
    </w:pPr>
    <w:rPr>
      <w:rFonts w:asciiTheme="minorHAnsi" w:eastAsiaTheme="minorEastAsia" w:hAnsiTheme="minorHAnsi" w:cstheme="minorBidi"/>
    </w:rPr>
  </w:style>
  <w:style w:type="paragraph" w:styleId="Sommario9">
    <w:name w:val="toc 9"/>
    <w:basedOn w:val="Normale"/>
    <w:next w:val="Normale"/>
    <w:autoRedefine/>
    <w:uiPriority w:val="39"/>
    <w:unhideWhenUsed/>
    <w:rsid w:val="005C759A"/>
    <w:pPr>
      <w:spacing w:after="100"/>
      <w:ind w:left="1920"/>
    </w:pPr>
    <w:rPr>
      <w:rFonts w:asciiTheme="minorHAnsi" w:eastAsiaTheme="minorEastAsia" w:hAnsiTheme="minorHAnsi" w:cstheme="minorBidi"/>
    </w:rPr>
  </w:style>
  <w:style w:type="character" w:styleId="Menzionenonrisolta">
    <w:name w:val="Unresolved Mention"/>
    <w:basedOn w:val="Carpredefinitoparagrafo"/>
    <w:uiPriority w:val="99"/>
    <w:semiHidden/>
    <w:unhideWhenUsed/>
    <w:rsid w:val="005C759A"/>
    <w:rPr>
      <w:color w:val="605E5C"/>
      <w:shd w:val="clear" w:color="auto" w:fill="E1DFDD"/>
    </w:rPr>
  </w:style>
  <w:style w:type="paragraph" w:customStyle="1" w:styleId="bd">
    <w:name w:val="bd"/>
    <w:basedOn w:val="Normale"/>
    <w:rsid w:val="007568F3"/>
    <w:pPr>
      <w:spacing w:before="100" w:beforeAutospacing="1" w:after="100" w:afterAutospacing="1"/>
    </w:pPr>
  </w:style>
  <w:style w:type="paragraph" w:styleId="Revisione">
    <w:name w:val="Revision"/>
    <w:hidden/>
    <w:uiPriority w:val="99"/>
    <w:semiHidden/>
    <w:rsid w:val="00D84FA4"/>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658015">
      <w:bodyDiv w:val="1"/>
      <w:marLeft w:val="0"/>
      <w:marRight w:val="0"/>
      <w:marTop w:val="0"/>
      <w:marBottom w:val="0"/>
      <w:divBdr>
        <w:top w:val="none" w:sz="0" w:space="0" w:color="auto"/>
        <w:left w:val="none" w:sz="0" w:space="0" w:color="auto"/>
        <w:bottom w:val="none" w:sz="0" w:space="0" w:color="auto"/>
        <w:right w:val="none" w:sz="0" w:space="0" w:color="auto"/>
      </w:divBdr>
    </w:div>
    <w:div w:id="326830111">
      <w:bodyDiv w:val="1"/>
      <w:marLeft w:val="0"/>
      <w:marRight w:val="0"/>
      <w:marTop w:val="0"/>
      <w:marBottom w:val="0"/>
      <w:divBdr>
        <w:top w:val="none" w:sz="0" w:space="0" w:color="auto"/>
        <w:left w:val="none" w:sz="0" w:space="0" w:color="auto"/>
        <w:bottom w:val="none" w:sz="0" w:space="0" w:color="auto"/>
        <w:right w:val="none" w:sz="0" w:space="0" w:color="auto"/>
      </w:divBdr>
    </w:div>
    <w:div w:id="357243160">
      <w:bodyDiv w:val="1"/>
      <w:marLeft w:val="0"/>
      <w:marRight w:val="0"/>
      <w:marTop w:val="0"/>
      <w:marBottom w:val="0"/>
      <w:divBdr>
        <w:top w:val="none" w:sz="0" w:space="0" w:color="auto"/>
        <w:left w:val="none" w:sz="0" w:space="0" w:color="auto"/>
        <w:bottom w:val="none" w:sz="0" w:space="0" w:color="auto"/>
        <w:right w:val="none" w:sz="0" w:space="0" w:color="auto"/>
      </w:divBdr>
    </w:div>
    <w:div w:id="765615357">
      <w:bodyDiv w:val="1"/>
      <w:marLeft w:val="0"/>
      <w:marRight w:val="0"/>
      <w:marTop w:val="0"/>
      <w:marBottom w:val="0"/>
      <w:divBdr>
        <w:top w:val="none" w:sz="0" w:space="0" w:color="auto"/>
        <w:left w:val="none" w:sz="0" w:space="0" w:color="auto"/>
        <w:bottom w:val="none" w:sz="0" w:space="0" w:color="auto"/>
        <w:right w:val="none" w:sz="0" w:space="0" w:color="auto"/>
      </w:divBdr>
    </w:div>
    <w:div w:id="874151353">
      <w:bodyDiv w:val="1"/>
      <w:marLeft w:val="0"/>
      <w:marRight w:val="0"/>
      <w:marTop w:val="0"/>
      <w:marBottom w:val="0"/>
      <w:divBdr>
        <w:top w:val="none" w:sz="0" w:space="0" w:color="auto"/>
        <w:left w:val="none" w:sz="0" w:space="0" w:color="auto"/>
        <w:bottom w:val="none" w:sz="0" w:space="0" w:color="auto"/>
        <w:right w:val="none" w:sz="0" w:space="0" w:color="auto"/>
      </w:divBdr>
    </w:div>
    <w:div w:id="885335008">
      <w:bodyDiv w:val="1"/>
      <w:marLeft w:val="0"/>
      <w:marRight w:val="0"/>
      <w:marTop w:val="0"/>
      <w:marBottom w:val="0"/>
      <w:divBdr>
        <w:top w:val="none" w:sz="0" w:space="0" w:color="auto"/>
        <w:left w:val="none" w:sz="0" w:space="0" w:color="auto"/>
        <w:bottom w:val="none" w:sz="0" w:space="0" w:color="auto"/>
        <w:right w:val="none" w:sz="0" w:space="0" w:color="auto"/>
      </w:divBdr>
    </w:div>
    <w:div w:id="998190568">
      <w:bodyDiv w:val="1"/>
      <w:marLeft w:val="0"/>
      <w:marRight w:val="0"/>
      <w:marTop w:val="0"/>
      <w:marBottom w:val="0"/>
      <w:divBdr>
        <w:top w:val="none" w:sz="0" w:space="0" w:color="auto"/>
        <w:left w:val="none" w:sz="0" w:space="0" w:color="auto"/>
        <w:bottom w:val="none" w:sz="0" w:space="0" w:color="auto"/>
        <w:right w:val="none" w:sz="0" w:space="0" w:color="auto"/>
      </w:divBdr>
    </w:div>
    <w:div w:id="1125538387">
      <w:bodyDiv w:val="1"/>
      <w:marLeft w:val="0"/>
      <w:marRight w:val="0"/>
      <w:marTop w:val="0"/>
      <w:marBottom w:val="0"/>
      <w:divBdr>
        <w:top w:val="none" w:sz="0" w:space="0" w:color="auto"/>
        <w:left w:val="none" w:sz="0" w:space="0" w:color="auto"/>
        <w:bottom w:val="none" w:sz="0" w:space="0" w:color="auto"/>
        <w:right w:val="none" w:sz="0" w:space="0" w:color="auto"/>
      </w:divBdr>
    </w:div>
    <w:div w:id="1144810986">
      <w:bodyDiv w:val="1"/>
      <w:marLeft w:val="0"/>
      <w:marRight w:val="0"/>
      <w:marTop w:val="0"/>
      <w:marBottom w:val="0"/>
      <w:divBdr>
        <w:top w:val="none" w:sz="0" w:space="0" w:color="auto"/>
        <w:left w:val="none" w:sz="0" w:space="0" w:color="auto"/>
        <w:bottom w:val="none" w:sz="0" w:space="0" w:color="auto"/>
        <w:right w:val="none" w:sz="0" w:space="0" w:color="auto"/>
      </w:divBdr>
    </w:div>
    <w:div w:id="1184630676">
      <w:bodyDiv w:val="1"/>
      <w:marLeft w:val="0"/>
      <w:marRight w:val="0"/>
      <w:marTop w:val="0"/>
      <w:marBottom w:val="0"/>
      <w:divBdr>
        <w:top w:val="none" w:sz="0" w:space="0" w:color="auto"/>
        <w:left w:val="none" w:sz="0" w:space="0" w:color="auto"/>
        <w:bottom w:val="none" w:sz="0" w:space="0" w:color="auto"/>
        <w:right w:val="none" w:sz="0" w:space="0" w:color="auto"/>
      </w:divBdr>
    </w:div>
    <w:div w:id="1303391575">
      <w:bodyDiv w:val="1"/>
      <w:marLeft w:val="0"/>
      <w:marRight w:val="0"/>
      <w:marTop w:val="0"/>
      <w:marBottom w:val="0"/>
      <w:divBdr>
        <w:top w:val="none" w:sz="0" w:space="0" w:color="auto"/>
        <w:left w:val="none" w:sz="0" w:space="0" w:color="auto"/>
        <w:bottom w:val="none" w:sz="0" w:space="0" w:color="auto"/>
        <w:right w:val="none" w:sz="0" w:space="0" w:color="auto"/>
      </w:divBdr>
    </w:div>
    <w:div w:id="1397968257">
      <w:bodyDiv w:val="1"/>
      <w:marLeft w:val="0"/>
      <w:marRight w:val="0"/>
      <w:marTop w:val="0"/>
      <w:marBottom w:val="0"/>
      <w:divBdr>
        <w:top w:val="none" w:sz="0" w:space="0" w:color="auto"/>
        <w:left w:val="none" w:sz="0" w:space="0" w:color="auto"/>
        <w:bottom w:val="none" w:sz="0" w:space="0" w:color="auto"/>
        <w:right w:val="none" w:sz="0" w:space="0" w:color="auto"/>
      </w:divBdr>
    </w:div>
    <w:div w:id="1413966238">
      <w:bodyDiv w:val="1"/>
      <w:marLeft w:val="0"/>
      <w:marRight w:val="0"/>
      <w:marTop w:val="0"/>
      <w:marBottom w:val="0"/>
      <w:divBdr>
        <w:top w:val="none" w:sz="0" w:space="0" w:color="auto"/>
        <w:left w:val="none" w:sz="0" w:space="0" w:color="auto"/>
        <w:bottom w:val="none" w:sz="0" w:space="0" w:color="auto"/>
        <w:right w:val="none" w:sz="0" w:space="0" w:color="auto"/>
      </w:divBdr>
      <w:divsChild>
        <w:div w:id="1225289411">
          <w:marLeft w:val="0"/>
          <w:marRight w:val="0"/>
          <w:marTop w:val="0"/>
          <w:marBottom w:val="225"/>
          <w:divBdr>
            <w:top w:val="single" w:sz="12" w:space="11" w:color="CCCCCC"/>
            <w:left w:val="none" w:sz="0" w:space="0" w:color="auto"/>
            <w:bottom w:val="single" w:sz="12" w:space="11" w:color="CCCCCC"/>
            <w:right w:val="none" w:sz="0" w:space="0" w:color="auto"/>
          </w:divBdr>
        </w:div>
      </w:divsChild>
    </w:div>
    <w:div w:id="1421488771">
      <w:bodyDiv w:val="1"/>
      <w:marLeft w:val="0"/>
      <w:marRight w:val="0"/>
      <w:marTop w:val="0"/>
      <w:marBottom w:val="0"/>
      <w:divBdr>
        <w:top w:val="none" w:sz="0" w:space="0" w:color="auto"/>
        <w:left w:val="none" w:sz="0" w:space="0" w:color="auto"/>
        <w:bottom w:val="none" w:sz="0" w:space="0" w:color="auto"/>
        <w:right w:val="none" w:sz="0" w:space="0" w:color="auto"/>
      </w:divBdr>
    </w:div>
    <w:div w:id="1598100237">
      <w:bodyDiv w:val="1"/>
      <w:marLeft w:val="0"/>
      <w:marRight w:val="0"/>
      <w:marTop w:val="0"/>
      <w:marBottom w:val="0"/>
      <w:divBdr>
        <w:top w:val="none" w:sz="0" w:space="0" w:color="auto"/>
        <w:left w:val="none" w:sz="0" w:space="0" w:color="auto"/>
        <w:bottom w:val="none" w:sz="0" w:space="0" w:color="auto"/>
        <w:right w:val="none" w:sz="0" w:space="0" w:color="auto"/>
      </w:divBdr>
    </w:div>
    <w:div w:id="1730573569">
      <w:bodyDiv w:val="1"/>
      <w:marLeft w:val="0"/>
      <w:marRight w:val="0"/>
      <w:marTop w:val="0"/>
      <w:marBottom w:val="0"/>
      <w:divBdr>
        <w:top w:val="none" w:sz="0" w:space="0" w:color="auto"/>
        <w:left w:val="none" w:sz="0" w:space="0" w:color="auto"/>
        <w:bottom w:val="none" w:sz="0" w:space="0" w:color="auto"/>
        <w:right w:val="none" w:sz="0" w:space="0" w:color="auto"/>
      </w:divBdr>
    </w:div>
    <w:div w:id="1775199523">
      <w:bodyDiv w:val="1"/>
      <w:marLeft w:val="0"/>
      <w:marRight w:val="0"/>
      <w:marTop w:val="0"/>
      <w:marBottom w:val="0"/>
      <w:divBdr>
        <w:top w:val="none" w:sz="0" w:space="0" w:color="auto"/>
        <w:left w:val="none" w:sz="0" w:space="0" w:color="auto"/>
        <w:bottom w:val="none" w:sz="0" w:space="0" w:color="auto"/>
        <w:right w:val="none" w:sz="0" w:space="0" w:color="auto"/>
      </w:divBdr>
    </w:div>
    <w:div w:id="1796870683">
      <w:bodyDiv w:val="1"/>
      <w:marLeft w:val="0"/>
      <w:marRight w:val="0"/>
      <w:marTop w:val="0"/>
      <w:marBottom w:val="0"/>
      <w:divBdr>
        <w:top w:val="none" w:sz="0" w:space="0" w:color="auto"/>
        <w:left w:val="none" w:sz="0" w:space="0" w:color="auto"/>
        <w:bottom w:val="none" w:sz="0" w:space="0" w:color="auto"/>
        <w:right w:val="none" w:sz="0" w:space="0" w:color="auto"/>
      </w:divBdr>
      <w:divsChild>
        <w:div w:id="425734703">
          <w:marLeft w:val="0"/>
          <w:marRight w:val="0"/>
          <w:marTop w:val="180"/>
          <w:marBottom w:val="180"/>
          <w:divBdr>
            <w:top w:val="dotted" w:sz="6" w:space="8" w:color="0E354F"/>
            <w:left w:val="none" w:sz="0" w:space="0" w:color="auto"/>
            <w:bottom w:val="dotted" w:sz="6" w:space="11" w:color="0E354F"/>
            <w:right w:val="none" w:sz="0" w:space="0" w:color="auto"/>
          </w:divBdr>
        </w:div>
        <w:div w:id="1059549575">
          <w:marLeft w:val="0"/>
          <w:marRight w:val="0"/>
          <w:marTop w:val="180"/>
          <w:marBottom w:val="180"/>
          <w:divBdr>
            <w:top w:val="dotted" w:sz="6" w:space="8" w:color="0E354F"/>
            <w:left w:val="none" w:sz="0" w:space="0" w:color="auto"/>
            <w:bottom w:val="dotted" w:sz="6" w:space="11" w:color="0E354F"/>
            <w:right w:val="none" w:sz="0" w:space="0" w:color="auto"/>
          </w:divBdr>
        </w:div>
      </w:divsChild>
    </w:div>
    <w:div w:id="2013098499">
      <w:bodyDiv w:val="1"/>
      <w:marLeft w:val="0"/>
      <w:marRight w:val="0"/>
      <w:marTop w:val="0"/>
      <w:marBottom w:val="0"/>
      <w:divBdr>
        <w:top w:val="none" w:sz="0" w:space="0" w:color="auto"/>
        <w:left w:val="none" w:sz="0" w:space="0" w:color="auto"/>
        <w:bottom w:val="none" w:sz="0" w:space="0" w:color="auto"/>
        <w:right w:val="none" w:sz="0" w:space="0" w:color="auto"/>
      </w:divBdr>
      <w:divsChild>
        <w:div w:id="1423186408">
          <w:marLeft w:val="0"/>
          <w:marRight w:val="0"/>
          <w:marTop w:val="180"/>
          <w:marBottom w:val="180"/>
          <w:divBdr>
            <w:top w:val="dotted" w:sz="6" w:space="8" w:color="0E354F"/>
            <w:left w:val="none" w:sz="0" w:space="0" w:color="auto"/>
            <w:bottom w:val="dotted" w:sz="6" w:space="11" w:color="0E354F"/>
            <w:right w:val="none" w:sz="0" w:space="0" w:color="auto"/>
          </w:divBdr>
        </w:div>
      </w:divsChild>
    </w:div>
    <w:div w:id="210738738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www.fiscoetasse.com"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www.fiscoetasse.com/" TargetMode="External"/><Relationship Id="rId25" Type="http://schemas.openxmlformats.org/officeDocument/2006/relationships/image" Target="media/image10.png"/><Relationship Id="rId33"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hyperlink" Target="https://www.fiscoetasse.com/files/18057/provvedimento-730-2024-del-28-febbraio-2024.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4.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fontTable" Target="fontTable.xml"/><Relationship Id="rId8" Type="http://schemas.openxmlformats.org/officeDocument/2006/relationships/header" Target="head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571868-AD03-6442-A895-C896160F10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84</Pages>
  <Words>23390</Words>
  <Characters>133326</Characters>
  <Application>Microsoft Office Word</Application>
  <DocSecurity>0</DocSecurity>
  <Lines>1111</Lines>
  <Paragraphs>312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156404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Pérez Corradini</dc:creator>
  <cp:keywords/>
  <dc:description/>
  <cp:lastModifiedBy>giuseppe paselli</cp:lastModifiedBy>
  <cp:revision>3</cp:revision>
  <cp:lastPrinted>2024-03-21T16:12:00Z</cp:lastPrinted>
  <dcterms:created xsi:type="dcterms:W3CDTF">2024-03-21T16:14:00Z</dcterms:created>
  <dcterms:modified xsi:type="dcterms:W3CDTF">2024-03-29T11:37:00Z</dcterms:modified>
</cp:coreProperties>
</file>